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660" w:lineRule="exact"/>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广东外语外贸大学</w:t>
      </w:r>
      <w:r>
        <w:rPr>
          <w:rFonts w:hint="eastAsia"/>
          <w:color w:val="000000" w:themeColor="text1"/>
          <w:sz w:val="44"/>
          <w:szCs w:val="44"/>
          <w:lang w:eastAsia="zh-CN"/>
          <w14:textFill>
            <w14:solidFill>
              <w14:schemeClr w14:val="tx1"/>
            </w14:solidFill>
          </w14:textFill>
        </w:rPr>
        <w:t>新闻与传播</w:t>
      </w:r>
      <w:r>
        <w:rPr>
          <w:rFonts w:hint="eastAsia"/>
          <w:color w:val="000000" w:themeColor="text1"/>
          <w:sz w:val="44"/>
          <w:szCs w:val="44"/>
          <w14:textFill>
            <w14:solidFill>
              <w14:schemeClr w14:val="tx1"/>
            </w14:solidFill>
          </w14:textFill>
        </w:rPr>
        <w:t>学院</w:t>
      </w:r>
    </w:p>
    <w:p>
      <w:pPr>
        <w:pStyle w:val="5"/>
        <w:snapToGrid w:val="0"/>
        <w:spacing w:line="660" w:lineRule="exact"/>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本科生综合测评方案</w:t>
      </w:r>
    </w:p>
    <w:p>
      <w:pPr>
        <w:pStyle w:val="5"/>
        <w:snapToGrid w:val="0"/>
        <w:spacing w:line="660" w:lineRule="exact"/>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(2016年修订）</w:t>
      </w:r>
    </w:p>
    <w:p>
      <w:pPr>
        <w:pStyle w:val="8"/>
        <w:spacing w:line="276" w:lineRule="auto"/>
        <w:ind w:firstLine="0" w:firstLineChars="0"/>
        <w:jc w:val="left"/>
        <w:rPr>
          <w:rFonts w:hint="eastAsia" w:ascii="黑体" w:hAnsi="黑体" w:eastAsia="黑体"/>
          <w:b/>
          <w:color w:val="000000" w:themeColor="text1"/>
          <w:sz w:val="32"/>
          <w:szCs w:val="32"/>
          <w14:textFill>
            <w14:solidFill>
              <w14:schemeClr w14:val="tx1"/>
            </w14:solidFill>
          </w14:textFill>
        </w:rPr>
      </w:pPr>
    </w:p>
    <w:p>
      <w:pPr>
        <w:pStyle w:val="8"/>
        <w:spacing w:line="276" w:lineRule="auto"/>
        <w:ind w:firstLine="0" w:firstLineChars="0"/>
        <w:jc w:val="left"/>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特别说明</w:t>
      </w:r>
    </w:p>
    <w:p>
      <w:pPr>
        <w:pStyle w:val="8"/>
        <w:numPr>
          <w:ilvl w:val="0"/>
          <w:numId w:val="1"/>
        </w:numPr>
        <w:spacing w:line="276" w:lineRule="auto"/>
        <w:ind w:firstLineChars="0"/>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凡是必修课和专业选修课不及格的同学不可以申请当年的奖学金，仅仅是通选课不及格可以申请奖学金。所有注册在读学生均需参与综合测评。</w:t>
      </w:r>
    </w:p>
    <w:p>
      <w:pPr>
        <w:pStyle w:val="8"/>
        <w:numPr>
          <w:ilvl w:val="0"/>
          <w:numId w:val="1"/>
        </w:numPr>
        <w:spacing w:line="276" w:lineRule="auto"/>
        <w:ind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所有加分项目的证明必须真实、公正，如发现有弄虚作假、欺骗他人的行为，一经查出，取消一切评优资格。</w:t>
      </w:r>
    </w:p>
    <w:p>
      <w:pPr>
        <w:pStyle w:val="8"/>
        <w:numPr>
          <w:ilvl w:val="0"/>
          <w:numId w:val="1"/>
        </w:numPr>
        <w:spacing w:line="276" w:lineRule="auto"/>
        <w:ind w:firstLineChars="0"/>
        <w:jc w:val="left"/>
        <w:rPr>
          <w:rFonts w:hint="eastAsia" w:ascii="黑体" w:hAnsi="黑体" w:eastAsia="黑体"/>
          <w:b/>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本《测评细则》没有涉及的加减分细则，可参考本科学生手册中的《广外大本科学生综合素质测评方案》执行。若本《测评细则》与《广外大本科学生综合素质测评方案》有冲突，以《广外大本科学生综合素质测评方案》为准。若在规定学年时间内参加了校级以上的个别活动、比赛、实践，而《广外大本科学生综合素质测评方案》和本《测评细则》均未提及，</w:t>
      </w:r>
      <w:r>
        <w:rPr>
          <w:rFonts w:hint="eastAsia" w:ascii="黑体" w:hAnsi="黑体" w:eastAsia="黑体"/>
          <w:b/>
          <w:color w:val="000000" w:themeColor="text1"/>
          <w14:textFill>
            <w14:solidFill>
              <w14:schemeClr w14:val="tx1"/>
            </w14:solidFill>
          </w14:textFill>
        </w:rPr>
        <w:t>若能出示参与证明、获奖奖状或证书的同学，可到年级辅导员处征求能否获得加分。</w:t>
      </w:r>
    </w:p>
    <w:p>
      <w:pPr>
        <w:pStyle w:val="8"/>
        <w:numPr>
          <w:ilvl w:val="0"/>
          <w:numId w:val="1"/>
        </w:numPr>
        <w:spacing w:line="276" w:lineRule="auto"/>
        <w:ind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所有加分项目必须有相关负责部门提供证明才可作为加分依据，未有证明不纳入加分之列。请各位同学在自评模板中清晰列出比赛活动的时间、举办单位、所属级别（院、校、市等），以及本人所获得的奖项，以便综测小组审核。</w:t>
      </w:r>
    </w:p>
    <w:p>
      <w:pPr>
        <w:pStyle w:val="8"/>
        <w:numPr>
          <w:ilvl w:val="0"/>
          <w:numId w:val="1"/>
        </w:numPr>
        <w:spacing w:line="276" w:lineRule="auto"/>
        <w:ind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所有比赛活动的等级依据奖状、证明上的盖章单位评定，活动名称不作为评定标准，班级评测小组具有认定权限，小组可根据活动主办单位，同时综合考虑活动影响力、代表</w:t>
      </w:r>
      <w:r>
        <w:rPr>
          <w:rFonts w:hint="eastAsia" w:ascii="黑体" w:hAnsi="黑体" w:eastAsia="黑体"/>
          <w:color w:val="000000" w:themeColor="text1"/>
          <w:lang w:eastAsia="zh-CN"/>
          <w14:textFill>
            <w14:solidFill>
              <w14:schemeClr w14:val="tx1"/>
            </w14:solidFill>
          </w14:textFill>
        </w:rPr>
        <w:t>能力</w:t>
      </w:r>
      <w:r>
        <w:rPr>
          <w:rFonts w:hint="eastAsia" w:ascii="黑体" w:hAnsi="黑体" w:eastAsia="黑体"/>
          <w:color w:val="000000" w:themeColor="text1"/>
          <w14:textFill>
            <w14:solidFill>
              <w14:schemeClr w14:val="tx1"/>
            </w14:solidFill>
          </w14:textFill>
        </w:rPr>
        <w:t>进行活动定位，酌情对活动进行升级降级。所有班级小组对于定位的活动要有备案并且上报年级负责人进行认可。</w:t>
      </w:r>
    </w:p>
    <w:p>
      <w:pPr>
        <w:pStyle w:val="8"/>
        <w:numPr>
          <w:ilvl w:val="0"/>
          <w:numId w:val="1"/>
        </w:numPr>
        <w:spacing w:line="276" w:lineRule="auto"/>
        <w:ind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所有加分以新闻学院的加分细则为依据，</w:t>
      </w:r>
      <w:r>
        <w:rPr>
          <w:rFonts w:hint="eastAsia" w:ascii="黑体" w:hAnsi="黑体" w:eastAsia="黑体"/>
          <w:color w:val="000000" w:themeColor="text1"/>
          <w:lang w:eastAsia="zh-CN"/>
          <w14:textFill>
            <w14:solidFill>
              <w14:schemeClr w14:val="tx1"/>
            </w14:solidFill>
          </w14:textFill>
        </w:rPr>
        <w:t>学校其他社团或部门</w:t>
      </w:r>
      <w:r>
        <w:rPr>
          <w:rFonts w:hint="eastAsia" w:ascii="黑体" w:hAnsi="黑体" w:eastAsia="黑体"/>
          <w:color w:val="000000" w:themeColor="text1"/>
          <w14:textFill>
            <w14:solidFill>
              <w14:schemeClr w14:val="tx1"/>
            </w14:solidFill>
          </w14:textFill>
        </w:rPr>
        <w:t>提供的加分建议只做参考。</w:t>
      </w:r>
    </w:p>
    <w:p>
      <w:pPr>
        <w:pStyle w:val="8"/>
        <w:numPr>
          <w:ilvl w:val="0"/>
          <w:numId w:val="1"/>
        </w:numPr>
        <w:spacing w:line="276" w:lineRule="auto"/>
        <w:ind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eastAsia="zh-CN"/>
          <w14:textFill>
            <w14:solidFill>
              <w14:schemeClr w14:val="tx1"/>
            </w14:solidFill>
          </w14:textFill>
        </w:rPr>
        <w:t>校外比赛只加获奖分，不加参与分。</w:t>
      </w:r>
    </w:p>
    <w:p>
      <w:pPr>
        <w:pStyle w:val="8"/>
        <w:numPr>
          <w:ilvl w:val="0"/>
          <w:numId w:val="1"/>
        </w:numPr>
        <w:spacing w:line="276" w:lineRule="auto"/>
        <w:ind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auto"/>
        </w:rPr>
        <w:t>本份细则</w:t>
      </w:r>
      <w:r>
        <w:rPr>
          <w:rFonts w:hint="eastAsia" w:ascii="黑体" w:hAnsi="黑体" w:eastAsia="黑体"/>
          <w:color w:val="auto"/>
          <w:lang w:eastAsia="zh-CN"/>
        </w:rPr>
        <w:t>适用于</w:t>
      </w:r>
      <w:r>
        <w:rPr>
          <w:rFonts w:hint="eastAsia" w:ascii="黑体" w:hAnsi="黑体" w:eastAsia="黑体"/>
          <w:color w:val="auto"/>
        </w:rPr>
        <w:t>新闻与传播学院</w:t>
      </w:r>
      <w:r>
        <w:rPr>
          <w:rFonts w:hint="eastAsia" w:ascii="黑体" w:hAnsi="黑体" w:eastAsia="黑体"/>
          <w:color w:val="auto"/>
          <w:lang w:val="en-US" w:eastAsia="zh-CN"/>
        </w:rPr>
        <w:t>2015级及以后</w:t>
      </w:r>
      <w:r>
        <w:rPr>
          <w:rFonts w:hint="eastAsia" w:ascii="黑体" w:hAnsi="黑体" w:eastAsia="黑体"/>
          <w:color w:val="auto"/>
        </w:rPr>
        <w:t>的</w:t>
      </w:r>
      <w:r>
        <w:rPr>
          <w:rFonts w:hint="eastAsia" w:ascii="黑体" w:hAnsi="黑体" w:eastAsia="黑体"/>
          <w:color w:val="auto"/>
          <w:lang w:eastAsia="zh-CN"/>
        </w:rPr>
        <w:t>所有</w:t>
      </w:r>
      <w:r>
        <w:rPr>
          <w:rFonts w:hint="eastAsia" w:ascii="黑体" w:hAnsi="黑体" w:eastAsia="黑体"/>
          <w:color w:val="auto"/>
        </w:rPr>
        <w:t>班级。</w:t>
      </w:r>
      <w:r>
        <w:rPr>
          <w:rFonts w:ascii="黑体" w:hAnsi="黑体" w:eastAsia="黑体"/>
          <w:color w:val="auto"/>
        </w:rPr>
        <w:t>如果有任何意见和建议，请</w:t>
      </w:r>
      <w:r>
        <w:rPr>
          <w:rFonts w:ascii="黑体" w:hAnsi="黑体" w:eastAsia="黑体"/>
          <w:color w:val="000000" w:themeColor="text1"/>
          <w14:textFill>
            <w14:solidFill>
              <w14:schemeClr w14:val="tx1"/>
            </w14:solidFill>
          </w14:textFill>
        </w:rPr>
        <w:t>联系综合测评年级负责人</w:t>
      </w:r>
      <w:r>
        <w:rPr>
          <w:rFonts w:hint="eastAsia" w:ascii="黑体" w:hAnsi="黑体" w:eastAsia="黑体"/>
          <w:color w:val="000000" w:themeColor="text1"/>
          <w14:textFill>
            <w14:solidFill>
              <w14:schemeClr w14:val="tx1"/>
            </w14:solidFill>
          </w14:textFill>
        </w:rPr>
        <w:t>。</w:t>
      </w:r>
    </w:p>
    <w:p>
      <w:pPr>
        <w:pStyle w:val="8"/>
        <w:spacing w:line="276" w:lineRule="auto"/>
        <w:ind w:left="360" w:firstLine="0" w:firstLineChars="0"/>
        <w:jc w:val="left"/>
        <w:rPr>
          <w:rFonts w:hint="eastAsia" w:ascii="黑体" w:hAnsi="黑体" w:eastAsia="黑体"/>
          <w:color w:val="000000" w:themeColor="text1"/>
          <w14:textFill>
            <w14:solidFill>
              <w14:schemeClr w14:val="tx1"/>
            </w14:solidFill>
          </w14:textFill>
        </w:rPr>
      </w:pPr>
    </w:p>
    <w:p>
      <w:pPr>
        <w:rPr>
          <w:rFonts w:hint="eastAsia" w:ascii="黑体" w:hAnsi="黑体" w:eastAsia="黑体"/>
          <w:b/>
          <w:color w:val="000000" w:themeColor="text1"/>
          <w:szCs w:val="21"/>
          <w14:textFill>
            <w14:solidFill>
              <w14:schemeClr w14:val="tx1"/>
            </w14:solidFill>
          </w14:textFill>
        </w:rPr>
      </w:pPr>
    </w:p>
    <w:p>
      <w:pPr>
        <w:pStyle w:val="8"/>
        <w:spacing w:line="360" w:lineRule="auto"/>
        <w:ind w:left="720" w:firstLine="0" w:firstLineChars="0"/>
        <w:jc w:val="right"/>
        <w:rPr>
          <w:rFonts w:hint="eastAsia" w:ascii="黑体" w:hAnsi="黑体" w:eastAsia="黑体"/>
          <w:b/>
          <w:color w:val="000000" w:themeColor="text1"/>
          <w:sz w:val="32"/>
          <w:szCs w:val="32"/>
          <w:lang w:val="en-US" w:eastAsia="zh-CN"/>
          <w14:textFill>
            <w14:solidFill>
              <w14:schemeClr w14:val="tx1"/>
            </w14:solidFill>
          </w14:textFill>
        </w:rPr>
      </w:pPr>
    </w:p>
    <w:p>
      <w:pPr>
        <w:pStyle w:val="8"/>
        <w:spacing w:line="360" w:lineRule="auto"/>
        <w:ind w:left="720" w:firstLine="0" w:firstLineChars="0"/>
        <w:jc w:val="right"/>
        <w:rPr>
          <w:rFonts w:hint="eastAsia" w:ascii="黑体" w:hAnsi="黑体" w:eastAsia="黑体"/>
          <w:b/>
          <w:color w:val="000000" w:themeColor="text1"/>
          <w:sz w:val="32"/>
          <w:szCs w:val="32"/>
          <w:lang w:val="en-US" w:eastAsia="zh-CN"/>
          <w14:textFill>
            <w14:solidFill>
              <w14:schemeClr w14:val="tx1"/>
            </w14:solidFill>
          </w14:textFill>
        </w:rPr>
      </w:pPr>
    </w:p>
    <w:p>
      <w:pPr>
        <w:spacing w:after="312" w:afterLines="100" w:line="300" w:lineRule="auto"/>
        <w:jc w:val="center"/>
        <w:textAlignment w:val="baseline"/>
        <w:rPr>
          <w:rFonts w:hint="eastAsia" w:ascii="黑体" w:hAnsi="黑体" w:eastAsia="黑体"/>
          <w:color w:val="000000" w:themeColor="text1"/>
          <w:sz w:val="44"/>
          <w:szCs w:val="44"/>
          <w14:textFill>
            <w14:solidFill>
              <w14:schemeClr w14:val="tx1"/>
            </w14:solidFill>
          </w14:textFill>
        </w:rPr>
      </w:pPr>
    </w:p>
    <w:p>
      <w:pPr>
        <w:spacing w:after="312" w:afterLines="100" w:line="300" w:lineRule="auto"/>
        <w:jc w:val="both"/>
        <w:textAlignment w:val="baseline"/>
        <w:rPr>
          <w:rFonts w:hint="eastAsia" w:ascii="黑体" w:hAnsi="黑体" w:eastAsia="黑体"/>
          <w:color w:val="000000" w:themeColor="text1"/>
          <w:sz w:val="44"/>
          <w:szCs w:val="44"/>
          <w14:textFill>
            <w14:solidFill>
              <w14:schemeClr w14:val="tx1"/>
            </w14:solidFill>
          </w14:textFill>
        </w:rPr>
      </w:pPr>
    </w:p>
    <w:p>
      <w:pPr>
        <w:pStyle w:val="6"/>
        <w:snapToGrid w:val="0"/>
        <w:spacing w:beforeLines="0" w:afterLines="0" w:line="540" w:lineRule="exac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第一章  总  则</w:t>
      </w:r>
    </w:p>
    <w:p>
      <w:pPr>
        <w:pStyle w:val="7"/>
        <w:snapToGrid w:val="0"/>
        <w:spacing w:line="540" w:lineRule="exact"/>
        <w:ind w:firstLine="549"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第一条</w:t>
      </w:r>
      <w:r>
        <w:rPr>
          <w:rFonts w:hint="eastAsia" w:ascii="仿宋" w:hAnsi="仿宋" w:eastAsia="仿宋"/>
          <w:color w:val="000000" w:themeColor="text1"/>
          <w:sz w:val="24"/>
          <w:szCs w:val="24"/>
          <w14:textFill>
            <w14:solidFill>
              <w14:schemeClr w14:val="tx1"/>
            </w14:solidFill>
          </w14:textFill>
        </w:rPr>
        <w:t xml:space="preserve">  综合素质测评是对学生德、智、体各方面表现进行量化评价的一种方法，是激励学生的重要杠杆，其宗旨是引导学生以学为主，德、智、体全面发展。根据《普通高等学校管理规定》《广东外语外贸大学本科学生综合素质测评方案</w:t>
      </w:r>
      <w:r>
        <w:rPr>
          <w:rFonts w:hint="eastAsia" w:ascii="仿宋_GB2312" w:hAnsi="宋体" w:eastAsia="仿宋_GB2312"/>
          <w:color w:val="000000" w:themeColor="text1"/>
          <w:sz w:val="24"/>
          <w:szCs w:val="24"/>
          <w14:textFill>
            <w14:solidFill>
              <w14:schemeClr w14:val="tx1"/>
            </w14:solidFill>
          </w14:textFill>
        </w:rPr>
        <w:t>（修订）</w:t>
      </w:r>
      <w:r>
        <w:rPr>
          <w:rFonts w:hint="eastAsia" w:ascii="仿宋" w:hAnsi="仿宋" w:eastAsia="仿宋"/>
          <w:color w:val="000000" w:themeColor="text1"/>
          <w:sz w:val="24"/>
          <w:szCs w:val="24"/>
          <w14:textFill>
            <w14:solidFill>
              <w14:schemeClr w14:val="tx1"/>
            </w14:solidFill>
          </w14:textFill>
        </w:rPr>
        <w:t>》等文件精神，结合我院实际，特制定本方案。</w:t>
      </w:r>
    </w:p>
    <w:p>
      <w:pPr>
        <w:pStyle w:val="7"/>
        <w:snapToGrid w:val="0"/>
        <w:spacing w:line="540" w:lineRule="exact"/>
        <w:ind w:firstLine="549"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第二条</w:t>
      </w:r>
      <w:r>
        <w:rPr>
          <w:rFonts w:hint="eastAsia" w:ascii="仿宋" w:hAnsi="仿宋" w:eastAsia="仿宋"/>
          <w:color w:val="000000" w:themeColor="text1"/>
          <w:sz w:val="24"/>
          <w:szCs w:val="24"/>
          <w14:textFill>
            <w14:solidFill>
              <w14:schemeClr w14:val="tx1"/>
            </w14:solidFill>
          </w14:textFill>
        </w:rPr>
        <w:t xml:space="preserve">  在掌握学生德、智、体等方面考核材料的基础上，本着育人为本、德育为先的原则，坚持知识学习与人格培育并重，综合测评采用定量与定性、记实与评议相结合的方式，对学生进行综合素质测评，确保做到公开、公平、公正。</w:t>
      </w:r>
    </w:p>
    <w:p>
      <w:pPr>
        <w:pStyle w:val="7"/>
        <w:snapToGrid w:val="0"/>
        <w:spacing w:line="540" w:lineRule="exact"/>
        <w:ind w:firstLine="549"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第三条</w:t>
      </w:r>
      <w:r>
        <w:rPr>
          <w:rFonts w:hint="eastAsia" w:ascii="仿宋" w:hAnsi="仿宋" w:eastAsia="仿宋"/>
          <w:color w:val="000000" w:themeColor="text1"/>
          <w:sz w:val="24"/>
          <w:szCs w:val="24"/>
          <w14:textFill>
            <w14:solidFill>
              <w14:schemeClr w14:val="tx1"/>
            </w14:solidFill>
          </w14:textFill>
        </w:rPr>
        <w:t xml:space="preserve">  综合素质测评是评定奖学金的重要依据。</w:t>
      </w:r>
    </w:p>
    <w:p>
      <w:pPr>
        <w:pStyle w:val="7"/>
        <w:snapToGrid w:val="0"/>
        <w:spacing w:line="540" w:lineRule="exact"/>
        <w:ind w:firstLine="549"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第四条</w:t>
      </w:r>
      <w:r>
        <w:rPr>
          <w:rFonts w:hint="eastAsia" w:ascii="仿宋" w:hAnsi="仿宋" w:eastAsia="仿宋"/>
          <w:color w:val="000000" w:themeColor="text1"/>
          <w:sz w:val="24"/>
          <w:szCs w:val="24"/>
          <w14:textFill>
            <w14:solidFill>
              <w14:schemeClr w14:val="tx1"/>
            </w14:solidFill>
          </w14:textFill>
        </w:rPr>
        <w:t xml:space="preserve">  本方案适用对象为具有广东外语外贸大学正式学籍，在</w:t>
      </w:r>
      <w:r>
        <w:rPr>
          <w:rFonts w:hint="eastAsia" w:ascii="仿宋" w:hAnsi="仿宋" w:eastAsia="仿宋"/>
          <w:color w:val="000000" w:themeColor="text1"/>
          <w:sz w:val="24"/>
          <w:szCs w:val="24"/>
          <w:lang w:eastAsia="zh-CN"/>
          <w14:textFill>
            <w14:solidFill>
              <w14:schemeClr w14:val="tx1"/>
            </w14:solidFill>
          </w14:textFill>
        </w:rPr>
        <w:t>新闻与传播</w:t>
      </w:r>
      <w:r>
        <w:rPr>
          <w:rFonts w:hint="eastAsia" w:ascii="仿宋" w:hAnsi="仿宋" w:eastAsia="仿宋"/>
          <w:color w:val="000000" w:themeColor="text1"/>
          <w:sz w:val="24"/>
          <w:szCs w:val="24"/>
          <w14:textFill>
            <w14:solidFill>
              <w14:schemeClr w14:val="tx1"/>
            </w14:solidFill>
          </w14:textFill>
        </w:rPr>
        <w:t>学院接受全日制普通高等学历教育的本科生。</w:t>
      </w:r>
    </w:p>
    <w:p>
      <w:pPr>
        <w:pStyle w:val="7"/>
        <w:snapToGrid w:val="0"/>
        <w:spacing w:line="540" w:lineRule="exact"/>
        <w:ind w:firstLine="560" w:firstLineChars="200"/>
        <w:rPr>
          <w:rFonts w:hint="eastAsia" w:ascii="仿宋" w:hAnsi="仿宋" w:eastAsia="仿宋"/>
          <w:color w:val="000000" w:themeColor="text1"/>
          <w:sz w:val="24"/>
          <w:szCs w:val="24"/>
          <w14:textFill>
            <w14:solidFill>
              <w14:schemeClr w14:val="tx1"/>
            </w14:solidFill>
          </w14:textFill>
        </w:rPr>
      </w:pPr>
    </w:p>
    <w:p>
      <w:pPr>
        <w:pStyle w:val="6"/>
        <w:snapToGrid w:val="0"/>
        <w:spacing w:beforeLines="0" w:afterLines="0" w:line="540" w:lineRule="exact"/>
        <w:rPr>
          <w:rFonts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第二章  评分标准</w:t>
      </w:r>
    </w:p>
    <w:p>
      <w:pPr>
        <w:pStyle w:val="7"/>
        <w:snapToGrid w:val="0"/>
        <w:spacing w:line="540" w:lineRule="exact"/>
        <w:ind w:firstLine="549" w:firstLineChars="200"/>
        <w:rPr>
          <w:rFonts w:ascii="仿宋_GB2312" w:hAnsi="宋体" w:eastAsia="仿宋_GB2312"/>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第五条</w:t>
      </w:r>
      <w:r>
        <w:rPr>
          <w:rFonts w:hint="eastAsia" w:ascii="仿宋_GB2312" w:hAnsi="宋体" w:eastAsia="仿宋_GB2312"/>
          <w:color w:val="000000" w:themeColor="text1"/>
          <w:sz w:val="24"/>
          <w:szCs w:val="24"/>
          <w14:textFill>
            <w14:solidFill>
              <w14:schemeClr w14:val="tx1"/>
            </w14:solidFill>
          </w14:textFill>
        </w:rPr>
        <w:t xml:space="preserve">  学生综合素质测评应德、智、体全面衡量，综合素质测评由学业能力测评、基础性素质测评、发展性素质测评等成绩按照一定比例计算得出。计算公式为：</w:t>
      </w:r>
    </w:p>
    <w:p>
      <w:pPr>
        <w:pStyle w:val="7"/>
        <w:snapToGrid w:val="0"/>
        <w:spacing w:line="540" w:lineRule="exact"/>
        <w:ind w:firstLine="562" w:firstLineChars="200"/>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综合测评成绩（满分100分）=A（学业成绩*70%）+B（基础性素质测评成绩*15%）+C（发展性素质测评成绩*15%）</w:t>
      </w:r>
    </w:p>
    <w:p>
      <w:pPr>
        <w:pStyle w:val="7"/>
        <w:snapToGrid w:val="0"/>
        <w:spacing w:line="540" w:lineRule="exact"/>
        <w:ind w:firstLine="560" w:firstLineChars="200"/>
        <w:rPr>
          <w:rFonts w:hint="eastAsia" w:ascii="仿宋" w:hAnsi="仿宋" w:eastAsia="仿宋"/>
          <w:color w:val="000000" w:themeColor="text1"/>
          <w:sz w:val="24"/>
          <w:szCs w:val="24"/>
          <w14:textFill>
            <w14:solidFill>
              <w14:schemeClr w14:val="tx1"/>
            </w14:solidFill>
          </w14:textFill>
        </w:rPr>
      </w:pPr>
    </w:p>
    <w:p>
      <w:pPr>
        <w:pStyle w:val="6"/>
        <w:numPr>
          <w:ilvl w:val="0"/>
          <w:numId w:val="2"/>
        </w:numPr>
        <w:snapToGrid w:val="0"/>
        <w:spacing w:beforeLines="0" w:afterLines="0" w:line="540" w:lineRule="exact"/>
        <w:rPr>
          <w:rFonts w:hint="eastAsia"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评分说明</w:t>
      </w:r>
    </w:p>
    <w:p>
      <w:pPr>
        <w:pStyle w:val="6"/>
        <w:snapToGrid w:val="0"/>
        <w:spacing w:beforeLines="0" w:afterLines="0" w:line="540" w:lineRule="exact"/>
        <w:rPr>
          <w:rFonts w:hint="eastAsia"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A：学业能力测评（占70%）</w:t>
      </w:r>
    </w:p>
    <w:p>
      <w:pPr>
        <w:snapToGrid w:val="0"/>
        <w:spacing w:line="540" w:lineRule="exact"/>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b/>
          <w:bCs/>
          <w:color w:val="000000" w:themeColor="text1"/>
          <w:sz w:val="24"/>
          <w:szCs w:val="24"/>
          <w14:textFill>
            <w14:solidFill>
              <w14:schemeClr w14:val="tx1"/>
            </w14:solidFill>
          </w14:textFill>
        </w:rPr>
        <w:t>第六条</w:t>
      </w:r>
      <w:r>
        <w:rPr>
          <w:rFonts w:hint="eastAsia" w:ascii="仿宋_GB2312" w:hAnsi="宋体" w:eastAsia="仿宋_GB2312"/>
          <w:color w:val="000000" w:themeColor="text1"/>
          <w:sz w:val="24"/>
          <w:szCs w:val="24"/>
          <w14:textFill>
            <w14:solidFill>
              <w14:schemeClr w14:val="tx1"/>
            </w14:solidFill>
          </w14:textFill>
        </w:rPr>
        <w:t xml:space="preserve">  学业能力测评主要根据学生的学年学业成绩进行评价，考察学生学习的勤奋程度，学习质量和学习水平。</w:t>
      </w:r>
    </w:p>
    <w:p>
      <w:pPr>
        <w:snapToGrid w:val="0"/>
        <w:spacing w:line="540" w:lineRule="exact"/>
        <w:ind w:firstLine="560" w:firstLineChars="200"/>
        <w:jc w:val="left"/>
        <w:rPr>
          <w:rFonts w:ascii="仿宋_GB2312" w:hAnsi="宋体" w:eastAsia="仿宋_GB2312"/>
          <w:color w:val="000000" w:themeColor="text1"/>
          <w:sz w:val="24"/>
          <w:szCs w:val="24"/>
          <w:lang w:val="zh-CN"/>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学业成绩包括学生当学年所修全部课程的成绩（不包括辅修课程、双学位课程、大学综合英语听力、军训成绩）。</w:t>
      </w:r>
      <w:r>
        <w:rPr>
          <w:rFonts w:hint="eastAsia" w:ascii="仿宋_GB2312" w:hAnsi="宋体" w:eastAsia="仿宋_GB2312"/>
          <w:color w:val="000000" w:themeColor="text1"/>
          <w:sz w:val="24"/>
          <w:szCs w:val="24"/>
          <w:lang w:val="zh-CN"/>
          <w14:textFill>
            <w14:solidFill>
              <w14:schemeClr w14:val="tx1"/>
            </w14:solidFill>
          </w14:textFill>
        </w:rPr>
        <w:t>将学年所修全部课程（不包括辅修课程、双学位课程、大学综合英语听力、军训成绩）的成绩乘以该门课程的学分数，将乘积相加，其相加之和除以各门课程学分数的总和，所得平均分乘以70%作为学业成绩分。</w:t>
      </w:r>
    </w:p>
    <w:p>
      <w:pPr>
        <w:snapToGrid w:val="0"/>
        <w:spacing w:line="540" w:lineRule="exact"/>
        <w:ind w:firstLine="562" w:firstLineChars="200"/>
        <w:jc w:val="left"/>
        <w:rPr>
          <w:rFonts w:hint="eastAsia" w:ascii="黑体" w:eastAsia="黑体"/>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lang w:val="zh-CN"/>
          <w14:textFill>
            <w14:solidFill>
              <w14:schemeClr w14:val="tx1"/>
            </w14:solidFill>
          </w14:textFill>
        </w:rPr>
        <w:t>A=[N1课成绩×N1课学分+N2课成绩×N2课学分+……]÷[N1课学分+N2课学分+……]×70%</w:t>
      </w:r>
    </w:p>
    <w:p>
      <w:pPr>
        <w:pStyle w:val="6"/>
        <w:snapToGrid w:val="0"/>
        <w:spacing w:beforeLines="0" w:afterLines="0" w:line="540" w:lineRule="exact"/>
        <w:rPr>
          <w:rFonts w:hint="eastAsia" w:ascii="黑体" w:eastAsia="黑体"/>
          <w:color w:val="000000" w:themeColor="text1"/>
          <w:sz w:val="24"/>
          <w:szCs w:val="24"/>
          <w14:textFill>
            <w14:solidFill>
              <w14:schemeClr w14:val="tx1"/>
            </w14:solidFill>
          </w14:textFill>
        </w:rPr>
      </w:pPr>
    </w:p>
    <w:p>
      <w:pPr>
        <w:pStyle w:val="6"/>
        <w:snapToGrid w:val="0"/>
        <w:spacing w:beforeLines="0" w:afterLines="0" w:line="540" w:lineRule="exact"/>
        <w:rPr>
          <w:rFonts w:hint="eastAsia"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B：基础性素质测评（占15%）</w:t>
      </w:r>
    </w:p>
    <w:p>
      <w:pPr>
        <w:pStyle w:val="7"/>
        <w:snapToGrid w:val="0"/>
        <w:spacing w:line="540" w:lineRule="exact"/>
        <w:ind w:firstLine="551" w:firstLineChars="196"/>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 xml:space="preserve">第七条 </w:t>
      </w:r>
      <w:r>
        <w:rPr>
          <w:rFonts w:hint="eastAsia" w:ascii="仿宋_GB2312" w:hAnsi="宋体" w:eastAsia="仿宋_GB2312"/>
          <w:color w:val="000000" w:themeColor="text1"/>
          <w:sz w:val="24"/>
          <w:szCs w:val="24"/>
          <w14:textFill>
            <w14:solidFill>
              <w14:schemeClr w14:val="tx1"/>
            </w14:solidFill>
          </w14:textFill>
        </w:rPr>
        <w:t xml:space="preserve"> 基础性素质测评主要是对学生日常行为进行评价，包括思想道德素质、身心素质、日常行为规范等测评指标。测评成绩由“记实”分值与“评议”分值加和组成，满分100分。其中“记实”分值满分为40分，“评议”分值满分为60分。</w:t>
      </w:r>
    </w:p>
    <w:p>
      <w:pPr>
        <w:pStyle w:val="7"/>
        <w:snapToGrid w:val="0"/>
        <w:spacing w:line="540" w:lineRule="exact"/>
        <w:ind w:firstLine="551" w:firstLineChars="196"/>
        <w:rPr>
          <w:rFonts w:hint="eastAsia" w:ascii="仿宋_GB2312" w:hAnsi="宋体" w:eastAsia="仿宋_GB2312"/>
          <w:b/>
          <w:bCs/>
          <w:color w:val="000000" w:themeColor="text1"/>
          <w:sz w:val="24"/>
          <w:szCs w:val="24"/>
          <w:lang w:val="zh-CN"/>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B</w:t>
      </w:r>
      <w:r>
        <w:rPr>
          <w:rFonts w:hint="eastAsia" w:ascii="仿宋_GB2312" w:hAnsi="宋体" w:eastAsia="仿宋_GB2312"/>
          <w:b/>
          <w:bCs/>
          <w:color w:val="000000" w:themeColor="text1"/>
          <w:sz w:val="24"/>
          <w:szCs w:val="24"/>
          <w:lang w:val="zh-CN"/>
          <w14:textFill>
            <w14:solidFill>
              <w14:schemeClr w14:val="tx1"/>
            </w14:solidFill>
          </w14:textFill>
        </w:rPr>
        <w:t>=（记实分+评议分）×15%</w:t>
      </w:r>
    </w:p>
    <w:p>
      <w:pPr>
        <w:pStyle w:val="7"/>
        <w:snapToGrid w:val="0"/>
        <w:spacing w:line="540" w:lineRule="exact"/>
        <w:ind w:firstLine="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    “记实”是指对学生在日常学习和生活过程的行为进行记录，并根据记录得出记实分值。需记实的主要行为包括“课堂纪律”“宿舍表现”“身体素质”“集体活动”等方面，最高分计40分。所填写分值为“扣分”分值</w:t>
      </w:r>
      <w:r>
        <w:rPr>
          <w:rFonts w:hint="eastAsia" w:ascii="仿宋_GB2312" w:hAnsi="宋体" w:eastAsia="仿宋_GB2312"/>
          <w:color w:val="000000" w:themeColor="text1"/>
          <w:sz w:val="24"/>
          <w:szCs w:val="24"/>
          <w:lang w:eastAsia="zh-CN"/>
          <w14:textFill>
            <w14:solidFill>
              <w14:schemeClr w14:val="tx1"/>
            </w14:solidFill>
          </w14:textFill>
        </w:rPr>
        <w:t>。</w:t>
      </w:r>
    </w:p>
    <w:p>
      <w:pPr>
        <w:pStyle w:val="7"/>
        <w:snapToGrid w:val="0"/>
        <w:spacing w:line="540" w:lineRule="exact"/>
        <w:ind w:firstLine="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（一）课堂纪律是对学生上课情况的考察，主要从学生是否</w:t>
      </w:r>
      <w:bookmarkStart w:id="11" w:name="_GoBack"/>
      <w:bookmarkEnd w:id="11"/>
      <w:r>
        <w:rPr>
          <w:rFonts w:hint="eastAsia" w:ascii="仿宋_GB2312" w:hAnsi="宋体" w:eastAsia="仿宋_GB2312"/>
          <w:color w:val="000000" w:themeColor="text1"/>
          <w:sz w:val="24"/>
          <w:szCs w:val="24"/>
          <w14:textFill>
            <w14:solidFill>
              <w14:schemeClr w14:val="tx1"/>
            </w14:solidFill>
          </w14:textFill>
        </w:rPr>
        <w:t>迟到、早退、旷课，以及遵守课堂秩序等方面的表现进行认定。任课教师提供学生到课信息，班委成员进行课堂秩序情况记录，辅导员定期听课了解学生上课情况。根据学生到课情况和课堂表现进行认定。根据学生违反课堂纪律的情况酌情减分。</w:t>
      </w:r>
    </w:p>
    <w:p>
      <w:pPr>
        <w:pStyle w:val="7"/>
        <w:snapToGrid w:val="0"/>
        <w:spacing w:line="540" w:lineRule="exact"/>
        <w:ind w:firstLine="549" w:firstLineChars="196"/>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（二）宿舍表现是对学生宿舍情况的考察，主要从学生宿舍卫生、遵守校纪校规等方面进行认定。对于卫生表现差，或者宿舍行为违反校纪校规的，根据情况予以减分。</w:t>
      </w:r>
    </w:p>
    <w:p>
      <w:pPr>
        <w:pStyle w:val="7"/>
        <w:snapToGrid w:val="0"/>
        <w:spacing w:line="540" w:lineRule="exact"/>
        <w:ind w:firstLine="549" w:firstLineChars="196"/>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（三）身体素质评价主要依据《学生体质健康标准》进行评价，考察学生的身体素质和健康水平。学生体育达标测试不合格者，可酌情减分。</w:t>
      </w:r>
    </w:p>
    <w:p>
      <w:pPr>
        <w:pStyle w:val="7"/>
        <w:snapToGrid w:val="0"/>
        <w:spacing w:line="540" w:lineRule="exact"/>
        <w:ind w:firstLine="549" w:firstLineChars="196"/>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四）集体活动是对学生参与各项活动情况的考察，主要从学生参与组织活动、团体活动等方面进行认定。班委针对各项集体活动对学生进行考勤，记录学生的参与情况。学院指定年级、班级参加的活动，学校、学院活动组织的观众，无故不到者酌情减分。</w:t>
      </w:r>
    </w:p>
    <w:p>
      <w:pPr>
        <w:pStyle w:val="7"/>
        <w:snapToGrid w:val="0"/>
        <w:spacing w:line="540" w:lineRule="exact"/>
        <w:ind w:firstLine="549" w:firstLineChars="196"/>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（五）各项减分可以累计，减完为止。</w:t>
      </w:r>
    </w:p>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表1.减分项目</w:t>
      </w:r>
    </w:p>
    <w:tbl>
      <w:tblPr>
        <w:tblStyle w:val="4"/>
        <w:tblW w:w="8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8220" w:type="dxa"/>
            <w:gridSpan w:val="2"/>
            <w:vAlign w:val="top"/>
          </w:tcPr>
          <w:p>
            <w:pPr>
              <w:autoSpaceDE w:val="0"/>
              <w:autoSpaceDN w:val="0"/>
              <w:adjustRightInd w:val="0"/>
              <w:ind w:left="108"/>
              <w:jc w:val="center"/>
              <w:rPr>
                <w:rFonts w:ascii="仿宋" w:hAnsi="仿宋" w:eastAsia="仿宋" w:cs="宋?"/>
                <w:color w:val="000000" w:themeColor="text1"/>
                <w:kern w:val="0"/>
                <w:szCs w:val="21"/>
                <w14:textFill>
                  <w14:solidFill>
                    <w14:schemeClr w14:val="tx1"/>
                  </w14:solidFill>
                </w14:textFill>
              </w:rPr>
            </w:pPr>
            <w:bookmarkStart w:id="0" w:name="OLE_LINK3"/>
            <w:r>
              <w:rPr>
                <w:rFonts w:hint="eastAsia" w:ascii="仿宋" w:hAnsi="仿宋" w:eastAsia="仿宋" w:cs="宋?"/>
                <w:b/>
                <w:bCs/>
                <w:color w:val="000000" w:themeColor="text1"/>
                <w:kern w:val="0"/>
                <w:szCs w:val="21"/>
                <w14:textFill>
                  <w14:solidFill>
                    <w14:schemeClr w14:val="tx1"/>
                  </w14:solidFill>
                </w14:textFill>
              </w:rPr>
              <w:t>课堂纪律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bookmarkStart w:id="1" w:name="OLE_LINK1" w:colFirst="0" w:colLast="1"/>
            <w:r>
              <w:rPr>
                <w:rFonts w:hint="eastAsia" w:ascii="仿宋" w:hAnsi="仿宋" w:eastAsia="仿宋" w:cs="宋?"/>
                <w:color w:val="000000" w:themeColor="text1"/>
                <w:kern w:val="0"/>
                <w:szCs w:val="21"/>
                <w14:textFill>
                  <w14:solidFill>
                    <w14:schemeClr w14:val="tx1"/>
                  </w14:solidFill>
                </w14:textFill>
              </w:rPr>
              <w:t>项目</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分数</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迟到、早退、旷课</w:t>
            </w:r>
            <w:r>
              <w:rPr>
                <w:rFonts w:hint="eastAsia" w:ascii="仿宋" w:hAnsi="仿宋" w:eastAsia="仿宋" w:cs="宋?"/>
                <w:color w:val="000000" w:themeColor="text1"/>
                <w:kern w:val="0"/>
                <w:szCs w:val="21"/>
                <w:lang w:eastAsia="zh-CN"/>
                <w14:textFill>
                  <w14:solidFill>
                    <w14:schemeClr w14:val="tx1"/>
                  </w14:solidFill>
                </w14:textFill>
              </w:rPr>
              <w:t>（包括早听）</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0.2 分/次；0.2 分/次；0.5 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被任课老师通报批评</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8220" w:type="dxa"/>
            <w:gridSpan w:val="2"/>
            <w:vAlign w:val="top"/>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宿舍表现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bookmarkStart w:id="2" w:name="OLE_LINK4" w:colFirst="0" w:colLast="1"/>
            <w:r>
              <w:rPr>
                <w:rFonts w:hint="eastAsia" w:ascii="仿宋" w:hAnsi="仿宋" w:eastAsia="仿宋" w:cs="宋?"/>
                <w:color w:val="000000" w:themeColor="text1"/>
                <w:kern w:val="0"/>
                <w:szCs w:val="21"/>
                <w14:textFill>
                  <w14:solidFill>
                    <w14:schemeClr w14:val="tx1"/>
                  </w14:solidFill>
                </w14:textFill>
              </w:rPr>
              <w:t>项目</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分数</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内务卫生检查不及格</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0.5分/次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使用大功率电器</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无正当理由晚归</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饲养宠物</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留宿他人</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不办理手续擅自外出居住</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10分</w:t>
            </w:r>
            <w:bookmarkStart w:id="3" w:name="OLE_LINK5"/>
            <w:r>
              <w:rPr>
                <w:rFonts w:hint="eastAsia" w:ascii="仿宋" w:hAnsi="仿宋" w:eastAsia="仿宋" w:cs="宋?"/>
                <w:color w:val="000000" w:themeColor="text1"/>
                <w:kern w:val="0"/>
                <w:szCs w:val="21"/>
                <w14:textFill>
                  <w14:solidFill>
                    <w14:schemeClr w14:val="tx1"/>
                  </w14:solidFill>
                </w14:textFill>
              </w:rPr>
              <w:t>/次</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8220" w:type="dxa"/>
            <w:gridSpan w:val="2"/>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违纪处分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bookmarkStart w:id="4" w:name="OLE_LINK2" w:colFirst="0" w:colLast="1"/>
            <w:r>
              <w:rPr>
                <w:rFonts w:hint="eastAsia" w:ascii="仿宋" w:hAnsi="仿宋" w:eastAsia="仿宋" w:cs="宋?"/>
                <w:color w:val="000000" w:themeColor="text1"/>
                <w:kern w:val="0"/>
                <w:szCs w:val="21"/>
                <w14:textFill>
                  <w14:solidFill>
                    <w14:schemeClr w14:val="tx1"/>
                  </w14:solidFill>
                </w14:textFill>
              </w:rPr>
              <w:t>项目</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分数</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院级通报批评、校级通报批评</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扣1分/次；2分/次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受警告处分，严重警告处分，记过处分，留校察看处分者</w:t>
            </w:r>
          </w:p>
        </w:tc>
        <w:tc>
          <w:tcPr>
            <w:tcW w:w="3518" w:type="dxa"/>
            <w:vAlign w:val="top"/>
          </w:tcPr>
          <w:p>
            <w:pPr>
              <w:autoSpaceDE w:val="0"/>
              <w:autoSpaceDN w:val="0"/>
              <w:adjustRightInd w:val="0"/>
              <w:ind w:firstLine="105" w:firstLineChars="50"/>
              <w:jc w:val="center"/>
              <w:rPr>
                <w:rFonts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 4 分/次；7 分/次；10 分/次；17分/次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8220" w:type="dxa"/>
            <w:gridSpan w:val="2"/>
            <w:vAlign w:val="top"/>
          </w:tcPr>
          <w:p>
            <w:pPr>
              <w:autoSpaceDE w:val="0"/>
              <w:autoSpaceDN w:val="0"/>
              <w:adjustRightInd w:val="0"/>
              <w:ind w:firstLine="103" w:firstLineChars="50"/>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集体活动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firstLine="105" w:firstLineChars="50"/>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未完成每学年4学时的校级思想教育活动者</w:t>
            </w:r>
          </w:p>
        </w:tc>
        <w:tc>
          <w:tcPr>
            <w:tcW w:w="3518" w:type="dxa"/>
            <w:vAlign w:val="top"/>
          </w:tcPr>
          <w:p>
            <w:pPr>
              <w:autoSpaceDE w:val="0"/>
              <w:autoSpaceDN w:val="0"/>
              <w:adjustRightInd w:val="0"/>
              <w:ind w:firstLine="105" w:firstLineChars="50"/>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每缺1学时减6分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4702" w:type="dxa"/>
            <w:vAlign w:val="center"/>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学校、学院规定参加的政治学习、组织生活、公益劳动、文体活动和学术活动未经请假而缺席者</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学校、学院派出学生活动未经请假而缺席者</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党员活动或积极分子培训未经请假而缺席者</w:t>
            </w:r>
          </w:p>
        </w:tc>
        <w:tc>
          <w:tcPr>
            <w:tcW w:w="3518" w:type="dxa"/>
            <w:vAlign w:val="center"/>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8220" w:type="dxa"/>
            <w:gridSpan w:val="2"/>
            <w:vAlign w:val="top"/>
          </w:tcPr>
          <w:p>
            <w:pPr>
              <w:autoSpaceDE w:val="0"/>
              <w:autoSpaceDN w:val="0"/>
              <w:adjustRightInd w:val="0"/>
              <w:ind w:firstLine="103" w:firstLineChars="50"/>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身体素质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项目</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4702" w:type="dxa"/>
            <w:vAlign w:val="top"/>
          </w:tcPr>
          <w:p>
            <w:pPr>
              <w:autoSpaceDE w:val="0"/>
              <w:autoSpaceDN w:val="0"/>
              <w:adjustRightInd w:val="0"/>
              <w:ind w:left="108"/>
              <w:jc w:val="center"/>
              <w:rPr>
                <w:rFonts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不参加体育达标测试者（经批准免修体育课者除外）；</w:t>
            </w:r>
          </w:p>
          <w:p>
            <w:pPr>
              <w:autoSpaceDE w:val="0"/>
              <w:autoSpaceDN w:val="0"/>
              <w:adjustRightInd w:val="0"/>
              <w:ind w:left="108"/>
              <w:jc w:val="center"/>
              <w:rPr>
                <w:rFonts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体育课达标测试未通者</w:t>
            </w:r>
          </w:p>
        </w:tc>
        <w:tc>
          <w:tcPr>
            <w:tcW w:w="3518" w:type="dxa"/>
            <w:vAlign w:val="top"/>
          </w:tcPr>
          <w:p>
            <w:pPr>
              <w:autoSpaceDE w:val="0"/>
              <w:autoSpaceDN w:val="0"/>
              <w:adjustRightInd w:val="0"/>
              <w:ind w:firstLine="105" w:firstLineChars="50"/>
              <w:jc w:val="center"/>
              <w:rPr>
                <w:rFonts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扣5分</w:t>
            </w:r>
          </w:p>
          <w:p>
            <w:pPr>
              <w:autoSpaceDE w:val="0"/>
              <w:autoSpaceDN w:val="0"/>
              <w:adjustRightInd w:val="0"/>
              <w:ind w:firstLine="105" w:firstLineChars="50"/>
              <w:jc w:val="center"/>
              <w:rPr>
                <w:rFonts w:ascii="仿宋" w:hAnsi="仿宋" w:eastAsia="仿宋" w:cs="宋?"/>
                <w:color w:val="000000" w:themeColor="text1"/>
                <w:kern w:val="0"/>
                <w:szCs w:val="21"/>
                <w14:textFill>
                  <w14:solidFill>
                    <w14:schemeClr w14:val="tx1"/>
                  </w14:solidFill>
                </w14:textFill>
              </w:rPr>
            </w:pPr>
            <w:bookmarkStart w:id="5" w:name="OLE_LINK8"/>
            <w:r>
              <w:rPr>
                <w:rFonts w:hint="eastAsia" w:ascii="仿宋" w:hAnsi="仿宋" w:eastAsia="仿宋" w:cs="宋?"/>
                <w:color w:val="000000" w:themeColor="text1"/>
                <w:kern w:val="0"/>
                <w:szCs w:val="21"/>
                <w14:textFill>
                  <w14:solidFill>
                    <w14:schemeClr w14:val="tx1"/>
                  </w14:solidFill>
                </w14:textFill>
              </w:rPr>
              <w:t>扣5分</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体育不及格者</w:t>
            </w:r>
          </w:p>
        </w:tc>
        <w:tc>
          <w:tcPr>
            <w:tcW w:w="3518" w:type="dxa"/>
            <w:vAlign w:val="top"/>
          </w:tcPr>
          <w:p>
            <w:pPr>
              <w:autoSpaceDE w:val="0"/>
              <w:autoSpaceDN w:val="0"/>
              <w:adjustRightInd w:val="0"/>
              <w:ind w:firstLine="105" w:firstLineChars="50"/>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8220" w:type="dxa"/>
            <w:gridSpan w:val="2"/>
            <w:vAlign w:val="top"/>
          </w:tcPr>
          <w:p>
            <w:pPr>
              <w:autoSpaceDE w:val="0"/>
              <w:autoSpaceDN w:val="0"/>
              <w:adjustRightInd w:val="0"/>
              <w:ind w:firstLine="103" w:firstLineChars="50"/>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学业成绩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项目</w:t>
            </w:r>
          </w:p>
        </w:tc>
        <w:tc>
          <w:tcPr>
            <w:tcW w:w="3518"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4702" w:type="dxa"/>
            <w:vAlign w:val="top"/>
          </w:tcPr>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必修课、必选课不合格</w:t>
            </w:r>
          </w:p>
        </w:tc>
        <w:tc>
          <w:tcPr>
            <w:tcW w:w="3518" w:type="dxa"/>
            <w:vAlign w:val="top"/>
          </w:tcPr>
          <w:p>
            <w:pPr>
              <w:autoSpaceDE w:val="0"/>
              <w:autoSpaceDN w:val="0"/>
              <w:adjustRightInd w:val="0"/>
              <w:ind w:firstLine="105" w:firstLineChars="50"/>
              <w:jc w:val="center"/>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每补考1门扣1分</w:t>
            </w:r>
          </w:p>
        </w:tc>
      </w:tr>
      <w:bookmarkEnd w:id="0"/>
    </w:tbl>
    <w:p>
      <w:pPr>
        <w:snapToGrid w:val="0"/>
        <w:spacing w:line="540" w:lineRule="exact"/>
        <w:ind w:firstLine="560"/>
        <w:jc w:val="left"/>
        <w:rPr>
          <w:rFonts w:hint="eastAsia" w:ascii="仿宋_GB2312" w:hAnsi="宋体" w:eastAsia="仿宋_GB2312" w:cs="Times New Roman"/>
          <w:color w:val="000000" w:themeColor="text1"/>
          <w:kern w:val="0"/>
          <w:sz w:val="28"/>
          <w:szCs w:val="28"/>
          <w14:textFill>
            <w14:solidFill>
              <w14:schemeClr w14:val="tx1"/>
            </w14:solidFill>
          </w14:textFill>
        </w:rPr>
      </w:pPr>
    </w:p>
    <w:p>
      <w:pPr>
        <w:snapToGrid w:val="0"/>
        <w:spacing w:line="540" w:lineRule="exact"/>
        <w:ind w:firstLine="560"/>
        <w:jc w:val="left"/>
        <w:rPr>
          <w:rFonts w:hint="eastAsia" w:ascii="仿宋_GB2312" w:hAnsi="宋体" w:eastAsia="仿宋_GB2312" w:cs="Times New Roman"/>
          <w:color w:val="000000" w:themeColor="text1"/>
          <w:kern w:val="0"/>
          <w:sz w:val="24"/>
          <w:szCs w:val="24"/>
          <w14:textFill>
            <w14:solidFill>
              <w14:schemeClr w14:val="tx1"/>
            </w14:solidFill>
          </w14:textFill>
        </w:rPr>
      </w:pPr>
      <w:r>
        <w:rPr>
          <w:rFonts w:hint="eastAsia" w:ascii="仿宋_GB2312" w:hAnsi="宋体" w:eastAsia="仿宋_GB2312" w:cs="Times New Roman"/>
          <w:color w:val="000000" w:themeColor="text1"/>
          <w:kern w:val="0"/>
          <w:sz w:val="24"/>
          <w:szCs w:val="24"/>
          <w14:textFill>
            <w14:solidFill>
              <w14:schemeClr w14:val="tx1"/>
            </w14:solidFill>
          </w14:textFill>
        </w:rPr>
        <w:t>“评议”是指学年末，依据“思想道德素质”“身体素质”“日常行为规范”等方面内容，对学生在该学年的表现进行评议。评议着重体现学生的世界观、人生观和价值观，体现学生的爱国主义、集体主义精神以及团结协作精神和诚实守信品质。</w:t>
      </w:r>
    </w:p>
    <w:p>
      <w:pPr>
        <w:numPr>
          <w:ilvl w:val="0"/>
          <w:numId w:val="3"/>
        </w:numPr>
        <w:snapToGrid w:val="0"/>
        <w:spacing w:line="540" w:lineRule="exact"/>
        <w:ind w:firstLine="560"/>
        <w:jc w:val="left"/>
        <w:rPr>
          <w:rFonts w:hint="eastAsia" w:ascii="仿宋_GB2312" w:hAnsi="宋体" w:eastAsia="仿宋_GB2312" w:cs="Times New Roman"/>
          <w:color w:val="000000" w:themeColor="text1"/>
          <w:kern w:val="0"/>
          <w:sz w:val="24"/>
          <w:szCs w:val="24"/>
          <w14:textFill>
            <w14:solidFill>
              <w14:schemeClr w14:val="tx1"/>
            </w14:solidFill>
          </w14:textFill>
        </w:rPr>
      </w:pPr>
      <w:r>
        <w:rPr>
          <w:rFonts w:hint="eastAsia" w:ascii="仿宋_GB2312" w:hAnsi="宋体" w:eastAsia="仿宋_GB2312" w:cs="Times New Roman"/>
          <w:color w:val="000000" w:themeColor="text1"/>
          <w:kern w:val="0"/>
          <w:sz w:val="24"/>
          <w:szCs w:val="24"/>
          <w14:textFill>
            <w14:solidFill>
              <w14:schemeClr w14:val="tx1"/>
            </w14:solidFill>
          </w14:textFill>
        </w:rPr>
        <w:t>“评议”最高分计60分，分为“优”(51-60)、“良”(41-50)、“中”（31-40）、“差”（0-30分）四个等级，评分者根据实际情况在各等级区间选择合适分数予以评分。</w:t>
      </w:r>
    </w:p>
    <w:p>
      <w:pPr>
        <w:snapToGrid w:val="0"/>
        <w:spacing w:line="540" w:lineRule="exact"/>
        <w:jc w:val="left"/>
        <w:rPr>
          <w:rFonts w:hint="eastAsia" w:ascii="仿宋_GB2312" w:hAnsi="宋体" w:eastAsia="仿宋_GB2312" w:cs="Times New Roman"/>
          <w:color w:val="000000" w:themeColor="text1"/>
          <w:kern w:val="0"/>
          <w:sz w:val="24"/>
          <w:szCs w:val="24"/>
          <w14:textFill>
            <w14:solidFill>
              <w14:schemeClr w14:val="tx1"/>
            </w14:solidFill>
          </w14:textFill>
        </w:rPr>
      </w:pPr>
      <w:r>
        <w:rPr>
          <w:rFonts w:hint="eastAsia" w:ascii="仿宋_GB2312" w:hAnsi="宋体" w:eastAsia="仿宋_GB2312" w:cs="Times New Roman"/>
          <w:color w:val="000000" w:themeColor="text1"/>
          <w:kern w:val="0"/>
          <w:sz w:val="24"/>
          <w:szCs w:val="24"/>
          <w14:textFill>
            <w14:solidFill>
              <w14:schemeClr w14:val="tx1"/>
            </w14:solidFill>
          </w14:textFill>
        </w:rPr>
        <w:t xml:space="preserve">    （二）“评议”由“个人自评”“班组测评”和“班主任或辅导员测评”构成，其中“个人自评”占10%、班组测评占50%、班主任或辅导员测评占40%。</w:t>
      </w:r>
    </w:p>
    <w:p>
      <w:pPr>
        <w:snapToGrid w:val="0"/>
        <w:spacing w:line="540" w:lineRule="exact"/>
        <w:jc w:val="left"/>
        <w:rPr>
          <w:rFonts w:hint="eastAsia" w:ascii="仿宋_GB2312" w:hAnsi="宋体" w:eastAsia="仿宋_GB2312" w:cs="Times New Roman"/>
          <w:color w:val="000000" w:themeColor="text1"/>
          <w:kern w:val="0"/>
          <w:sz w:val="24"/>
          <w:szCs w:val="24"/>
          <w14:textFill>
            <w14:solidFill>
              <w14:schemeClr w14:val="tx1"/>
            </w14:solidFill>
          </w14:textFill>
        </w:rPr>
      </w:pPr>
      <w:r>
        <w:rPr>
          <w:rFonts w:hint="eastAsia" w:ascii="仿宋_GB2312" w:hAnsi="宋体" w:eastAsia="仿宋_GB2312" w:cs="Times New Roman"/>
          <w:color w:val="000000" w:themeColor="text1"/>
          <w:kern w:val="0"/>
          <w:sz w:val="24"/>
          <w:szCs w:val="24"/>
          <w14:textFill>
            <w14:solidFill>
              <w14:schemeClr w14:val="tx1"/>
            </w14:solidFill>
          </w14:textFill>
        </w:rPr>
        <w:t xml:space="preserve">    （三）评定标准可参考《高等学校学生行为准则》。</w:t>
      </w:r>
    </w:p>
    <w:p>
      <w:pPr>
        <w:autoSpaceDE w:val="0"/>
        <w:autoSpaceDN w:val="0"/>
        <w:adjustRightInd w:val="0"/>
        <w:ind w:left="108"/>
        <w:jc w:val="center"/>
        <w:rPr>
          <w:rFonts w:hint="eastAsia" w:ascii="仿宋" w:hAnsi="仿宋" w:eastAsia="仿宋" w:cs="宋?"/>
          <w:color w:val="000000" w:themeColor="text1"/>
          <w:kern w:val="0"/>
          <w:szCs w:val="21"/>
          <w14:textFill>
            <w14:solidFill>
              <w14:schemeClr w14:val="tx1"/>
            </w14:solidFill>
          </w14:textFill>
        </w:rPr>
      </w:pPr>
      <w:bookmarkStart w:id="6" w:name="OLE_LINK6"/>
      <w:r>
        <w:rPr>
          <w:rFonts w:hint="eastAsia" w:ascii="仿宋" w:hAnsi="仿宋" w:eastAsia="仿宋" w:cs="宋?"/>
          <w:color w:val="000000" w:themeColor="text1"/>
          <w:kern w:val="0"/>
          <w:szCs w:val="21"/>
          <w14:textFill>
            <w14:solidFill>
              <w14:schemeClr w14:val="tx1"/>
            </w14:solidFill>
          </w14:textFill>
        </w:rPr>
        <w:t>表2.《高等学校学生行为准则》</w:t>
      </w:r>
      <w:bookmarkEnd w:id="6"/>
    </w:p>
    <w:tbl>
      <w:tblPr>
        <w:tblStyle w:val="4"/>
        <w:tblW w:w="8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9"/>
        <w:gridCol w:w="5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2619" w:type="dxa"/>
            <w:vAlign w:val="top"/>
          </w:tcPr>
          <w:p>
            <w:pPr>
              <w:autoSpaceDE w:val="0"/>
              <w:autoSpaceDN w:val="0"/>
              <w:adjustRightInd w:val="0"/>
              <w:ind w:left="108"/>
              <w:jc w:val="center"/>
              <w:rPr>
                <w:rFonts w:ascii="仿宋" w:hAnsi="仿宋" w:eastAsia="仿宋" w:cs="宋?"/>
                <w:b/>
                <w:bCs/>
                <w:color w:val="000000" w:themeColor="text1"/>
                <w:kern w:val="0"/>
                <w:szCs w:val="21"/>
                <w14:textFill>
                  <w14:solidFill>
                    <w14:schemeClr w14:val="tx1"/>
                  </w14:solidFill>
                </w14:textFill>
              </w:rPr>
            </w:pPr>
            <w:bookmarkStart w:id="7" w:name="OLE_LINK11"/>
            <w:r>
              <w:rPr>
                <w:rFonts w:hint="eastAsia" w:ascii="仿宋" w:hAnsi="仿宋" w:eastAsia="仿宋" w:cs="宋?"/>
                <w:b/>
                <w:bCs/>
                <w:color w:val="000000" w:themeColor="text1"/>
                <w:kern w:val="0"/>
                <w:szCs w:val="21"/>
                <w14:textFill>
                  <w14:solidFill>
                    <w14:schemeClr w14:val="tx1"/>
                  </w14:solidFill>
                </w14:textFill>
              </w:rPr>
              <w:t>项目</w:t>
            </w:r>
          </w:p>
        </w:tc>
        <w:tc>
          <w:tcPr>
            <w:tcW w:w="5781" w:type="dxa"/>
            <w:vAlign w:val="top"/>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8"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志存高远，坚定信念</w:t>
            </w:r>
          </w:p>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p>
        </w:tc>
        <w:tc>
          <w:tcPr>
            <w:tcW w:w="5781" w:type="dxa"/>
            <w:vAlign w:val="top"/>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热爱祖国，服务人民</w:t>
            </w:r>
          </w:p>
        </w:tc>
        <w:tc>
          <w:tcPr>
            <w:tcW w:w="5781" w:type="dxa"/>
            <w:vAlign w:val="top"/>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弘扬民族精神，维护国家利益和民族团结。不参与违反四项基本原则、影响国家统一和社会稳定的活动。培养同人民群众的深厚感情，正确处理国家、集体和个人三者利益关系，增强社会责任感，甘愿为祖国为人民奉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勤奋学习，自强不息</w:t>
            </w:r>
          </w:p>
        </w:tc>
        <w:tc>
          <w:tcPr>
            <w:tcW w:w="5781" w:type="dxa"/>
            <w:vAlign w:val="top"/>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追求真理，崇尚科学；刻苦钻研，严谨求实；积极实践，勇于创新；珍惜时间，学业有成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遵纪守法，弘扬正气</w:t>
            </w:r>
          </w:p>
        </w:tc>
        <w:tc>
          <w:tcPr>
            <w:tcW w:w="5781" w:type="dxa"/>
            <w:vAlign w:val="top"/>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遵守宪法、法律法规，遵守校纪校规；正确行使权利，依法履行义务；敬廉崇洁，公道正派；敢于并善于同各种违法违纪行为作斗争。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诚实守信，严于律己</w:t>
            </w:r>
          </w:p>
        </w:tc>
        <w:tc>
          <w:tcPr>
            <w:tcW w:w="5781" w:type="dxa"/>
            <w:vAlign w:val="top"/>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履约践诺，知行统一；遵从学术规范，恪守学术道德，不作弊，不剽窃；自尊自爱，自省自律；文明使用互联网；自觉抵制黄、赌、毒等不良诱惑。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明礼修身，团结友爱</w:t>
            </w:r>
          </w:p>
        </w:tc>
        <w:tc>
          <w:tcPr>
            <w:tcW w:w="5781" w:type="dxa"/>
            <w:vAlign w:val="center"/>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弘扬传统美德，遵守社会公德，男女交往文明；关心集体，爱护公物，热心公益；尊敬师长，友爱同学，团结合作；仪表整洁，待人礼貌；豁达宽容，积极向上。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勤俭节约，艰苦奋斗</w:t>
            </w:r>
          </w:p>
        </w:tc>
        <w:tc>
          <w:tcPr>
            <w:tcW w:w="5781" w:type="dxa"/>
            <w:vAlign w:val="top"/>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热爱劳动，珍惜他人和社会劳动成果；生活俭朴，杜绝浪费；不追求超越自身和家庭实际的物质享受。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2619" w:type="dxa"/>
            <w:vAlign w:val="center"/>
          </w:tcPr>
          <w:p>
            <w:pPr>
              <w:autoSpaceDE w:val="0"/>
              <w:autoSpaceDN w:val="0"/>
              <w:adjustRightInd w:val="0"/>
              <w:ind w:left="108"/>
              <w:jc w:val="center"/>
              <w:rPr>
                <w:rFonts w:hint="eastAsia" w:ascii="仿宋" w:hAnsi="仿宋" w:eastAsia="仿宋" w:cs="宋?"/>
                <w:b/>
                <w:bCs/>
                <w:color w:val="000000" w:themeColor="text1"/>
                <w:kern w:val="0"/>
                <w:szCs w:val="21"/>
                <w14:textFill>
                  <w14:solidFill>
                    <w14:schemeClr w14:val="tx1"/>
                  </w14:solidFill>
                </w14:textFill>
              </w:rPr>
            </w:pPr>
            <w:r>
              <w:rPr>
                <w:rFonts w:hint="eastAsia" w:ascii="仿宋" w:hAnsi="仿宋" w:eastAsia="仿宋" w:cs="宋?"/>
                <w:b/>
                <w:bCs/>
                <w:color w:val="000000" w:themeColor="text1"/>
                <w:kern w:val="0"/>
                <w:szCs w:val="21"/>
                <w14:textFill>
                  <w14:solidFill>
                    <w14:schemeClr w14:val="tx1"/>
                  </w14:solidFill>
                </w14:textFill>
              </w:rPr>
              <w:t>强健体魄，热爱生活</w:t>
            </w:r>
          </w:p>
        </w:tc>
        <w:tc>
          <w:tcPr>
            <w:tcW w:w="5781" w:type="dxa"/>
            <w:vAlign w:val="top"/>
          </w:tcPr>
          <w:p>
            <w:pPr>
              <w:autoSpaceDE w:val="0"/>
              <w:autoSpaceDN w:val="0"/>
              <w:adjustRightInd w:val="0"/>
              <w:rPr>
                <w:rFonts w:hint="eastAsia" w:ascii="仿宋" w:hAnsi="仿宋" w:eastAsia="仿宋" w:cs="宋?"/>
                <w:color w:val="000000" w:themeColor="text1"/>
                <w:kern w:val="0"/>
                <w:szCs w:val="21"/>
                <w14:textFill>
                  <w14:solidFill>
                    <w14:schemeClr w14:val="tx1"/>
                  </w14:solidFill>
                </w14:textFill>
              </w:rPr>
            </w:pPr>
            <w:r>
              <w:rPr>
                <w:rFonts w:hint="eastAsia" w:ascii="仿宋" w:hAnsi="仿宋" w:eastAsia="仿宋" w:cs="宋?"/>
                <w:color w:val="000000" w:themeColor="text1"/>
                <w:kern w:val="0"/>
                <w:szCs w:val="21"/>
                <w14:textFill>
                  <w14:solidFill>
                    <w14:schemeClr w14:val="tx1"/>
                  </w14:solidFill>
                </w14:textFill>
              </w:rPr>
              <w:t xml:space="preserve">    积极参加文体活动，提高身体素质，保持心理健康；磨砺意志，不怕挫折，提高适应能力；增强安全意识，防止意外事故；关爱自然，爱护环境，珍惜资源。</w:t>
            </w:r>
          </w:p>
        </w:tc>
      </w:tr>
      <w:bookmarkEnd w:id="7"/>
    </w:tbl>
    <w:p>
      <w:pPr>
        <w:pStyle w:val="6"/>
        <w:snapToGrid w:val="0"/>
        <w:spacing w:beforeLines="0" w:afterLines="0" w:line="540" w:lineRule="exact"/>
        <w:rPr>
          <w:rFonts w:hint="eastAsia" w:ascii="黑体" w:eastAsia="黑体"/>
          <w:color w:val="000000" w:themeColor="text1"/>
          <w:sz w:val="24"/>
          <w:szCs w:val="24"/>
          <w14:textFill>
            <w14:solidFill>
              <w14:schemeClr w14:val="tx1"/>
            </w14:solidFill>
          </w14:textFill>
        </w:rPr>
      </w:pPr>
    </w:p>
    <w:p>
      <w:pPr>
        <w:pStyle w:val="6"/>
        <w:snapToGrid w:val="0"/>
        <w:spacing w:beforeLines="0" w:afterLines="0" w:line="540" w:lineRule="exact"/>
        <w:rPr>
          <w:rFonts w:hint="eastAsia"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C： 发展性素质测评（占15%）</w:t>
      </w:r>
    </w:p>
    <w:p>
      <w:pPr>
        <w:widowControl/>
        <w:snapToGrid w:val="0"/>
        <w:spacing w:line="540" w:lineRule="exact"/>
        <w:ind w:firstLine="551" w:firstLineChars="196"/>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第八条</w:t>
      </w:r>
      <w:r>
        <w:rPr>
          <w:rFonts w:hint="eastAsia" w:ascii="仿宋_GB2312" w:hAnsi="宋体" w:eastAsia="仿宋_GB2312"/>
          <w:color w:val="000000" w:themeColor="text1"/>
          <w:sz w:val="24"/>
          <w:szCs w:val="24"/>
          <w14:textFill>
            <w14:solidFill>
              <w14:schemeClr w14:val="tx1"/>
            </w14:solidFill>
          </w14:textFill>
        </w:rPr>
        <w:t xml:space="preserve">  发展性素质测评是鼓励学生全面发展的重要导向性指标。主要对学生在学术科研、社会实践与服务以及文体活动等方面所取得的成绩进行评价，考察学生的学习能力、实践能力、创新创业能力和组织能力等。以学生实际参与各类活动情况（包括相关成绩、活动证明）及所获得的荣誉、奖励作为主要测评依据。</w:t>
      </w:r>
      <w:r>
        <w:rPr>
          <w:rFonts w:hint="eastAsia" w:ascii="仿宋_GB2312" w:hAnsi="宋体" w:eastAsia="仿宋_GB2312"/>
          <w:color w:val="000000" w:themeColor="text1"/>
          <w:sz w:val="24"/>
          <w:szCs w:val="24"/>
          <w:lang w:eastAsia="zh-CN"/>
          <w14:textFill>
            <w14:solidFill>
              <w14:schemeClr w14:val="tx1"/>
            </w14:solidFill>
          </w14:textFill>
        </w:rPr>
        <w:t>发展性素质主要考察品行、学业、文体三项。</w:t>
      </w:r>
    </w:p>
    <w:p>
      <w:pPr>
        <w:widowControl/>
        <w:snapToGrid w:val="0"/>
        <w:spacing w:after="156" w:afterLines="50" w:line="540" w:lineRule="exact"/>
        <w:ind w:firstLine="551" w:firstLineChars="196"/>
        <w:jc w:val="left"/>
        <w:rPr>
          <w:rFonts w:hint="eastAsia" w:ascii="仿宋_GB2312" w:hAnsi="宋体" w:eastAsia="仿宋_GB2312"/>
          <w:b/>
          <w:bCs/>
          <w:color w:val="000000" w:themeColor="text1"/>
          <w:sz w:val="24"/>
          <w:szCs w:val="24"/>
          <w:lang w:val="zh-CN"/>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C=各类加分总得分</w:t>
      </w:r>
      <w:r>
        <w:rPr>
          <w:rFonts w:hint="eastAsia" w:ascii="仿宋_GB2312" w:hAnsi="宋体" w:eastAsia="仿宋_GB2312"/>
          <w:b/>
          <w:color w:val="000000" w:themeColor="text1"/>
          <w:sz w:val="24"/>
          <w:szCs w:val="24"/>
          <w:lang w:val="en-US" w:eastAsia="zh-CN"/>
          <w14:textFill>
            <w14:solidFill>
              <w14:schemeClr w14:val="tx1"/>
            </w14:solidFill>
          </w14:textFill>
        </w:rPr>
        <w:t>(品行+学业+文体）</w:t>
      </w:r>
      <w:r>
        <w:rPr>
          <w:rFonts w:hint="eastAsia" w:ascii="仿宋_GB2312" w:hAnsi="宋体" w:eastAsia="仿宋_GB2312"/>
          <w:b/>
          <w:bCs/>
          <w:color w:val="000000" w:themeColor="text1"/>
          <w:sz w:val="24"/>
          <w:szCs w:val="24"/>
          <w:lang w:val="zh-CN"/>
          <w14:textFill>
            <w14:solidFill>
              <w14:schemeClr w14:val="tx1"/>
            </w14:solidFill>
          </w14:textFill>
        </w:rPr>
        <w:t>×15%</w:t>
      </w:r>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bookmarkStart w:id="8" w:name="OLE_LINK12"/>
      <w:bookmarkStart w:id="9" w:name="OLE_LINK9"/>
      <w:r>
        <w:rPr>
          <w:rFonts w:hint="eastAsia" w:ascii="仿宋_GB2312" w:hAnsi="宋体" w:eastAsia="仿宋_GB2312"/>
          <w:color w:val="000000" w:themeColor="text1"/>
          <w:sz w:val="24"/>
          <w:szCs w:val="24"/>
          <w14:textFill>
            <w14:solidFill>
              <w14:schemeClr w14:val="tx1"/>
            </w14:solidFill>
          </w14:textFill>
        </w:rPr>
        <w:t>（一）</w:t>
      </w:r>
      <w:bookmarkEnd w:id="8"/>
      <w:r>
        <w:rPr>
          <w:rFonts w:hint="eastAsia" w:ascii="仿宋_GB2312" w:hAnsi="宋体" w:eastAsia="仿宋_GB2312"/>
          <w:color w:val="000000" w:themeColor="text1"/>
          <w:sz w:val="24"/>
          <w:szCs w:val="24"/>
          <w14:textFill>
            <w14:solidFill>
              <w14:schemeClr w14:val="tx1"/>
            </w14:solidFill>
          </w14:textFill>
        </w:rPr>
        <w:t>学生参与和本专业相关的专业竞赛，计入学术科研类加分</w:t>
      </w:r>
      <w:bookmarkEnd w:id="9"/>
      <w:r>
        <w:rPr>
          <w:rFonts w:hint="eastAsia" w:ascii="仿宋_GB2312" w:hAnsi="宋体" w:eastAsia="仿宋_GB2312"/>
          <w:color w:val="000000" w:themeColor="text1"/>
          <w:sz w:val="24"/>
          <w:szCs w:val="24"/>
          <w14:textFill>
            <w14:solidFill>
              <w14:schemeClr w14:val="tx1"/>
            </w14:solidFill>
          </w14:textFill>
        </w:rPr>
        <w:t>，参加同一比赛，获得多个奖项，只加最高分。</w:t>
      </w:r>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（二）社会实践与服务包括部门社团任职及相应获奖、学生参加校、院派出的政治性公益志愿服务（日常志愿服务与有报酬志愿服务除外）及相应获奖等。在校外担任职务或者所任职务有报酬者，不予加分。</w:t>
      </w:r>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bookmarkStart w:id="10" w:name="OLE_LINK10"/>
      <w:r>
        <w:rPr>
          <w:rFonts w:hint="eastAsia" w:ascii="仿宋_GB2312" w:hAnsi="宋体" w:eastAsia="仿宋_GB2312"/>
          <w:color w:val="000000" w:themeColor="text1"/>
          <w:sz w:val="24"/>
          <w:szCs w:val="24"/>
          <w14:textFill>
            <w14:solidFill>
              <w14:schemeClr w14:val="tx1"/>
            </w14:solidFill>
          </w14:textFill>
        </w:rPr>
        <w:t>（三）文体活动指学生参与的一切校内外文娱和体育性质活动以及对应获奖。</w:t>
      </w:r>
      <w:bookmarkEnd w:id="10"/>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四）学术科研、社会实践与服务以及文体活动加分实行“类别等同，等级差异”原则，对院、校、市、省、国家、国际分级差别加分。各类活动证明、获奖证书以主办单位（印章）界定国家、省、市、校、院、级等级别，所有加分项目都需提供相关证明材料。</w:t>
      </w:r>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五）参加校外单位活动，需符合以下要求方能按照标准加分：以广东外语外贸大学学生身份参加的；报经学院或学校各部、处（如校体育部、校团委带队参加的比赛）；该比赛的组织机构需是政府或事业单位，商业机构不加分。</w:t>
      </w:r>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（六）凡有获取报酬的职务和活动一律不加分。</w:t>
      </w:r>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（七）每项类别的具体加分分值详见《</w:t>
      </w:r>
      <w:r>
        <w:rPr>
          <w:rFonts w:hint="eastAsia" w:ascii="仿宋_GB2312" w:hAnsi="宋体" w:eastAsia="仿宋_GB2312"/>
          <w:color w:val="000000" w:themeColor="text1"/>
          <w:sz w:val="24"/>
          <w:szCs w:val="24"/>
          <w:lang w:eastAsia="zh-CN"/>
          <w14:textFill>
            <w14:solidFill>
              <w14:schemeClr w14:val="tx1"/>
            </w14:solidFill>
          </w14:textFill>
        </w:rPr>
        <w:t>新闻与传播</w:t>
      </w:r>
      <w:r>
        <w:rPr>
          <w:rFonts w:hint="eastAsia" w:ascii="仿宋_GB2312" w:hAnsi="宋体" w:eastAsia="仿宋_GB2312"/>
          <w:color w:val="000000" w:themeColor="text1"/>
          <w:sz w:val="24"/>
          <w:szCs w:val="24"/>
          <w14:textFill>
            <w14:solidFill>
              <w14:schemeClr w14:val="tx1"/>
            </w14:solidFill>
          </w14:textFill>
        </w:rPr>
        <w:t>学院综合测评发展性素质测评加分细则》，下表中未涉及加分项以学院综合素质测评小组评定为准。</w:t>
      </w:r>
    </w:p>
    <w:p>
      <w:pPr>
        <w:widowControl/>
        <w:snapToGrid w:val="0"/>
        <w:spacing w:line="540" w:lineRule="exact"/>
        <w:jc w:val="left"/>
        <w:rPr>
          <w:rFonts w:hint="eastAsia" w:ascii="仿宋_GB2312" w:hAnsi="宋体" w:eastAsia="仿宋_GB2312"/>
          <w:color w:val="000000" w:themeColor="text1"/>
          <w:sz w:val="24"/>
          <w:szCs w:val="24"/>
          <w14:textFill>
            <w14:solidFill>
              <w14:schemeClr w14:val="tx1"/>
            </w14:solidFill>
          </w14:textFill>
        </w:rPr>
      </w:pPr>
    </w:p>
    <w:p>
      <w:pPr>
        <w:widowControl/>
        <w:snapToGrid w:val="0"/>
        <w:spacing w:line="540" w:lineRule="exact"/>
        <w:ind w:firstLine="549" w:firstLineChars="196"/>
        <w:jc w:val="left"/>
        <w:rPr>
          <w:rFonts w:hint="eastAsia" w:ascii="仿宋_GB2312" w:hAnsi="宋体" w:eastAsia="仿宋_GB2312"/>
          <w:color w:val="000000" w:themeColor="text1"/>
          <w:sz w:val="24"/>
          <w:szCs w:val="24"/>
          <w14:textFill>
            <w14:solidFill>
              <w14:schemeClr w14:val="tx1"/>
            </w14:solidFill>
          </w14:textFill>
        </w:rPr>
      </w:pPr>
    </w:p>
    <w:p>
      <w:pPr>
        <w:pStyle w:val="9"/>
        <w:spacing w:line="360" w:lineRule="auto"/>
        <w:ind w:firstLine="0" w:firstLineChars="0"/>
        <w:jc w:val="center"/>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lang w:eastAsia="zh-CN"/>
          <w14:textFill>
            <w14:solidFill>
              <w14:schemeClr w14:val="tx1"/>
            </w14:solidFill>
          </w14:textFill>
        </w:rPr>
        <w:t>各类</w:t>
      </w:r>
      <w:r>
        <w:rPr>
          <w:rFonts w:hint="eastAsia" w:ascii="黑体" w:hAnsi="黑体" w:eastAsia="黑体"/>
          <w:b/>
          <w:color w:val="000000" w:themeColor="text1"/>
          <w:sz w:val="32"/>
          <w:szCs w:val="32"/>
          <w14:textFill>
            <w14:solidFill>
              <w14:schemeClr w14:val="tx1"/>
            </w14:solidFill>
          </w14:textFill>
        </w:rPr>
        <w:t>加分项总表</w:t>
      </w:r>
    </w:p>
    <w:tbl>
      <w:tblPr>
        <w:tblStyle w:val="4"/>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3545" w:type="dxa"/>
            <w:vAlign w:val="center"/>
          </w:tcPr>
          <w:p>
            <w:pPr>
              <w:pStyle w:val="9"/>
              <w:spacing w:line="360" w:lineRule="auto"/>
              <w:ind w:firstLine="0" w:firstLineChars="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一、品行表现测评</w:t>
            </w:r>
          </w:p>
        </w:tc>
        <w:tc>
          <w:tcPr>
            <w:tcW w:w="5244" w:type="dxa"/>
            <w:vAlign w:val="top"/>
          </w:tcPr>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1、社会工作</w:t>
            </w:r>
          </w:p>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2、当学年度参加社会实践和校园文化活动</w:t>
            </w:r>
          </w:p>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3545" w:type="dxa"/>
            <w:vAlign w:val="center"/>
          </w:tcPr>
          <w:p>
            <w:pPr>
              <w:pStyle w:val="9"/>
              <w:spacing w:line="360" w:lineRule="auto"/>
              <w:ind w:firstLine="0" w:firstLineChars="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二、学业表现测评</w:t>
            </w:r>
          </w:p>
        </w:tc>
        <w:tc>
          <w:tcPr>
            <w:tcW w:w="5244" w:type="dxa"/>
            <w:vAlign w:val="top"/>
          </w:tcPr>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1、专业知识竞赛</w:t>
            </w:r>
          </w:p>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2、发表学术性文章</w:t>
            </w:r>
          </w:p>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3、发表非学术性文章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545" w:type="dxa"/>
            <w:vAlign w:val="center"/>
          </w:tcPr>
          <w:p>
            <w:pPr>
              <w:pStyle w:val="9"/>
              <w:spacing w:line="360" w:lineRule="auto"/>
              <w:ind w:firstLine="0" w:firstLineChars="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三、文体表现测评</w:t>
            </w:r>
          </w:p>
        </w:tc>
        <w:tc>
          <w:tcPr>
            <w:tcW w:w="5244" w:type="dxa"/>
            <w:vAlign w:val="top"/>
          </w:tcPr>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1、体育活动</w:t>
            </w:r>
          </w:p>
          <w:p>
            <w:pPr>
              <w:pStyle w:val="9"/>
              <w:spacing w:line="276" w:lineRule="auto"/>
              <w:ind w:firstLine="0" w:firstLineChars="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2、裁判员</w:t>
            </w:r>
          </w:p>
          <w:p>
            <w:pPr>
              <w:pStyle w:val="9"/>
              <w:spacing w:line="276" w:lineRule="auto"/>
              <w:ind w:firstLine="0" w:firstLineChars="0"/>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3、文艺活动</w:t>
            </w:r>
          </w:p>
        </w:tc>
      </w:tr>
    </w:tbl>
    <w:p>
      <w:pPr>
        <w:pStyle w:val="9"/>
        <w:spacing w:line="360" w:lineRule="auto"/>
        <w:ind w:left="0" w:leftChars="0" w:firstLine="0" w:firstLineChars="0"/>
        <w:jc w:val="left"/>
        <w:rPr>
          <w:rFonts w:hint="eastAsia" w:ascii="黑体" w:hAnsi="黑体" w:eastAsia="黑体"/>
          <w:b/>
          <w:color w:val="000000" w:themeColor="text1"/>
          <w:sz w:val="32"/>
          <w:szCs w:val="32"/>
          <w14:textFill>
            <w14:solidFill>
              <w14:schemeClr w14:val="tx1"/>
            </w14:solidFill>
          </w14:textFill>
        </w:rPr>
      </w:pPr>
    </w:p>
    <w:p>
      <w:pPr>
        <w:pStyle w:val="9"/>
        <w:spacing w:line="360" w:lineRule="auto"/>
        <w:ind w:left="0" w:leftChars="0" w:firstLine="0" w:firstLineChars="0"/>
        <w:jc w:val="left"/>
        <w:rPr>
          <w:rFonts w:hint="eastAsia" w:ascii="黑体" w:hAnsi="黑体" w:eastAsia="黑体"/>
          <w:b/>
          <w:color w:val="000000" w:themeColor="text1"/>
          <w:sz w:val="32"/>
          <w:szCs w:val="32"/>
          <w14:textFill>
            <w14:solidFill>
              <w14:schemeClr w14:val="tx1"/>
            </w14:solidFill>
          </w14:textFill>
        </w:rPr>
      </w:pPr>
    </w:p>
    <w:p>
      <w:pPr>
        <w:pStyle w:val="9"/>
        <w:spacing w:line="360" w:lineRule="auto"/>
        <w:ind w:left="0" w:leftChars="0" w:firstLine="0" w:firstLineChars="0"/>
        <w:jc w:val="left"/>
        <w:rPr>
          <w:rFonts w:hint="eastAsia" w:ascii="黑体" w:hAnsi="黑体" w:eastAsia="黑体"/>
          <w:b/>
          <w:color w:val="000000" w:themeColor="text1"/>
          <w:sz w:val="32"/>
          <w:szCs w:val="32"/>
          <w14:textFill>
            <w14:solidFill>
              <w14:schemeClr w14:val="tx1"/>
            </w14:solidFill>
          </w14:textFill>
        </w:rPr>
      </w:pPr>
    </w:p>
    <w:p>
      <w:pPr>
        <w:pStyle w:val="9"/>
        <w:spacing w:line="360" w:lineRule="auto"/>
        <w:ind w:left="0" w:leftChars="0" w:firstLine="0" w:firstLineChars="0"/>
        <w:jc w:val="left"/>
        <w:rPr>
          <w:rFonts w:hint="eastAsia" w:ascii="黑体" w:hAnsi="黑体" w:eastAsia="黑体"/>
          <w:b/>
          <w:color w:val="000000" w:themeColor="text1"/>
          <w:sz w:val="32"/>
          <w:szCs w:val="32"/>
          <w14:textFill>
            <w14:solidFill>
              <w14:schemeClr w14:val="tx1"/>
            </w14:solidFill>
          </w14:textFill>
        </w:rPr>
      </w:pPr>
    </w:p>
    <w:p>
      <w:pPr>
        <w:pStyle w:val="9"/>
        <w:numPr>
          <w:ilvl w:val="0"/>
          <w:numId w:val="4"/>
        </w:numPr>
        <w:spacing w:line="360" w:lineRule="auto"/>
        <w:ind w:firstLineChars="0"/>
        <w:jc w:val="left"/>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品行表现测评</w:t>
      </w:r>
    </w:p>
    <w:p>
      <w:pPr>
        <w:pStyle w:val="9"/>
        <w:numPr>
          <w:ilvl w:val="0"/>
          <w:numId w:val="5"/>
        </w:numPr>
        <w:spacing w:line="360" w:lineRule="auto"/>
        <w:ind w:firstLineChars="0"/>
        <w:jc w:val="left"/>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社会工作：</w:t>
      </w:r>
    </w:p>
    <w:p>
      <w:pPr>
        <w:numPr>
          <w:ilvl w:val="0"/>
          <w:numId w:val="6"/>
        </w:numPr>
        <w:spacing w:line="360" w:lineRule="auto"/>
        <w:rPr>
          <w:rFonts w:hint="eastAsia"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校级职位</w:t>
      </w:r>
    </w:p>
    <w:tbl>
      <w:tblPr>
        <w:tblStyle w:val="4"/>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tabs>
                <w:tab w:val="left" w:pos="1021"/>
              </w:tabs>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项目</w:t>
            </w:r>
            <w:r>
              <w:rPr>
                <w:rFonts w:ascii="黑体" w:hAnsi="黑体" w:eastAsia="黑体"/>
                <w:b/>
                <w:color w:val="000000" w:themeColor="text1"/>
                <w:sz w:val="22"/>
                <w:szCs w:val="21"/>
                <w14:textFill>
                  <w14:solidFill>
                    <w14:schemeClr w14:val="tx1"/>
                  </w14:solidFill>
                </w14:textFill>
              </w:rPr>
              <w:tab/>
            </w:r>
          </w:p>
        </w:tc>
        <w:tc>
          <w:tcPr>
            <w:tcW w:w="2700" w:type="dxa"/>
            <w:vAlign w:val="center"/>
          </w:tcPr>
          <w:p>
            <w:pPr>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校学生会、校社团联合会（社联）主席团成员及秘书长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正6分，副5分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校团委常委</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正6分，副5分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校团委、学生会、校社团联合会（社联）各部门部长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校团委、学生会、校社团联合会（社联）各部门干事</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校艺术团体、少数民族艺术团团长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正6分，副5分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校艺术团、少数民族艺术团各队队长</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正2分，副1.5分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校艺术团、少数民族艺术团成员</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校学生就业创业管理中心主任</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正6分，副5分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校学生就业创业管理中心部长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校学生就业创业管理中心干事</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校优秀社团会长</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校优秀社团各部门部长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正3分，副2分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校</w:t>
            </w:r>
            <w:r>
              <w:rPr>
                <w:rFonts w:hint="eastAsia" w:ascii="黑体" w:hAnsi="黑体" w:eastAsia="黑体"/>
                <w:color w:val="000000" w:themeColor="text1"/>
                <w:szCs w:val="21"/>
                <w14:textFill>
                  <w14:solidFill>
                    <w14:schemeClr w14:val="tx1"/>
                  </w14:solidFill>
                </w14:textFill>
              </w:rPr>
              <w:t>优秀社团</w:t>
            </w:r>
            <w:r>
              <w:rPr>
                <w:rFonts w:hint="eastAsia" w:ascii="黑体" w:hAnsi="黑体" w:eastAsia="黑体" w:cs="宋?"/>
                <w:color w:val="000000" w:themeColor="text1"/>
                <w:kern w:val="0"/>
                <w:szCs w:val="21"/>
                <w14:textFill>
                  <w14:solidFill>
                    <w14:schemeClr w14:val="tx1"/>
                  </w14:solidFill>
                </w14:textFill>
              </w:rPr>
              <w:t>各部门干事</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校非优秀社团会长</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正3分，副2分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校非优秀社团部长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校运会国旗班的升旗手和副旗手</w:t>
            </w:r>
            <w:r>
              <w:rPr>
                <w:rFonts w:hint="eastAsia" w:ascii="黑体" w:hAnsi="黑体" w:eastAsia="黑体"/>
                <w:color w:val="000000" w:themeColor="text1"/>
                <w:szCs w:val="21"/>
                <w14:textFill>
                  <w14:solidFill>
                    <w14:schemeClr w14:val="tx1"/>
                  </w14:solidFill>
                </w14:textFill>
              </w:rPr>
              <w:t>（此项没有出场累计，不管出多少次场</w:t>
            </w:r>
            <w:r>
              <w:rPr>
                <w:rFonts w:hint="eastAsia" w:ascii="黑体" w:hAnsi="黑体" w:eastAsia="黑体"/>
                <w:color w:val="000000" w:themeColor="text1"/>
                <w14:textFill>
                  <w14:solidFill>
                    <w14:schemeClr w14:val="tx1"/>
                  </w14:solidFill>
                </w14:textFill>
              </w:rPr>
              <w:t>均</w:t>
            </w:r>
            <w:r>
              <w:rPr>
                <w:rFonts w:hint="eastAsia" w:ascii="黑体" w:hAnsi="黑体" w:eastAsia="黑体"/>
                <w:color w:val="000000" w:themeColor="text1"/>
                <w:szCs w:val="21"/>
                <w14:textFill>
                  <w14:solidFill>
                    <w14:schemeClr w14:val="tx1"/>
                  </w14:solidFill>
                </w14:textFill>
              </w:rPr>
              <w:t>只加0.3分）</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宿舍自律委员会正副主任及各部门负责人</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广播台</w:t>
            </w:r>
          </w:p>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新闻社</w:t>
            </w:r>
          </w:p>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学生资讯中心</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社长（正5分，副4分）；部长（正3分，副2分）；干事（1分）；</w:t>
            </w:r>
          </w:p>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编辑记者（1分）</w:t>
            </w:r>
          </w:p>
        </w:tc>
      </w:tr>
    </w:tbl>
    <w:p>
      <w:pPr>
        <w:rPr>
          <w:rFonts w:hint="eastAsia" w:ascii="黑体" w:hAnsi="黑体" w:eastAsia="黑体"/>
          <w:b/>
          <w:color w:val="000000" w:themeColor="text1"/>
          <w:sz w:val="24"/>
          <w14:textFill>
            <w14:solidFill>
              <w14:schemeClr w14:val="tx1"/>
            </w14:solidFill>
          </w14:textFill>
        </w:rPr>
      </w:pPr>
    </w:p>
    <w:p>
      <w:pPr>
        <w:numPr>
          <w:ilvl w:val="0"/>
          <w:numId w:val="7"/>
        </w:num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院级</w:t>
      </w:r>
    </w:p>
    <w:tbl>
      <w:tblPr>
        <w:tblStyle w:val="4"/>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院学生会主席</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正6分，副5分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院团委副书记</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院团委、学生会各部门部长、自强社社长</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院团委、学生会各部门干事、自强社干事</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院团委新闻中心编辑</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2015年9月新生班导 </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院辩论队队长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院辩论队队员</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院党建主席</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正6分，副5分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w:t>
            </w:r>
            <w:r>
              <w:rPr>
                <w:rFonts w:hint="eastAsia" w:ascii="黑体" w:hAnsi="黑体" w:eastAsia="黑体"/>
                <w:color w:val="000000" w:themeColor="text1"/>
                <w14:textFill>
                  <w14:solidFill>
                    <w14:schemeClr w14:val="tx1"/>
                  </w14:solidFill>
                </w14:textFill>
              </w:rPr>
              <w:t>党建秘书长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正5分，副4分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w:t>
            </w:r>
            <w:r>
              <w:rPr>
                <w:rFonts w:hint="eastAsia" w:ascii="黑体" w:hAnsi="黑体" w:eastAsia="黑体"/>
                <w:color w:val="000000" w:themeColor="text1"/>
                <w14:textFill>
                  <w14:solidFill>
                    <w14:schemeClr w14:val="tx1"/>
                  </w14:solidFill>
                </w14:textFill>
              </w:rPr>
              <w:t>党建</w:t>
            </w:r>
            <w:r>
              <w:rPr>
                <w:rFonts w:hint="eastAsia" w:ascii="黑体" w:hAnsi="黑体" w:eastAsia="黑体"/>
                <w:color w:val="000000" w:themeColor="text1"/>
                <w:szCs w:val="21"/>
                <w14:textFill>
                  <w14:solidFill>
                    <w14:schemeClr w14:val="tx1"/>
                  </w14:solidFill>
                </w14:textFill>
              </w:rPr>
              <w:t>各部门</w:t>
            </w:r>
            <w:r>
              <w:rPr>
                <w:rFonts w:hint="eastAsia" w:ascii="黑体" w:hAnsi="黑体" w:eastAsia="黑体"/>
                <w:color w:val="000000" w:themeColor="text1"/>
                <w14:textFill>
                  <w14:solidFill>
                    <w14:schemeClr w14:val="tx1"/>
                  </w14:solidFill>
                </w14:textFill>
              </w:rPr>
              <w:t>部长</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w:t>
            </w:r>
            <w:r>
              <w:rPr>
                <w:rFonts w:hint="eastAsia" w:ascii="黑体" w:hAnsi="黑体" w:eastAsia="黑体"/>
                <w:color w:val="000000" w:themeColor="text1"/>
                <w14:textFill>
                  <w14:solidFill>
                    <w14:schemeClr w14:val="tx1"/>
                  </w14:solidFill>
                </w14:textFill>
              </w:rPr>
              <w:t>党建</w:t>
            </w:r>
            <w:r>
              <w:rPr>
                <w:rFonts w:hint="eastAsia" w:ascii="黑体" w:hAnsi="黑体" w:eastAsia="黑体"/>
                <w:color w:val="000000" w:themeColor="text1"/>
                <w:szCs w:val="21"/>
                <w14:textFill>
                  <w14:solidFill>
                    <w14:schemeClr w14:val="tx1"/>
                  </w14:solidFill>
                </w14:textFill>
              </w:rPr>
              <w:t>各部门</w:t>
            </w:r>
            <w:r>
              <w:rPr>
                <w:rFonts w:hint="eastAsia" w:ascii="黑体" w:hAnsi="黑体" w:eastAsia="黑体"/>
                <w:color w:val="000000" w:themeColor="text1"/>
                <w14:textFill>
                  <w14:solidFill>
                    <w14:schemeClr w14:val="tx1"/>
                  </w14:solidFill>
                </w14:textFill>
              </w:rPr>
              <w:t>干事</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学院办公室助理</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学院升旗手和护旗手（此项没有出场累计，不管出多少次场均只加0.3分）</w:t>
            </w:r>
          </w:p>
        </w:tc>
        <w:tc>
          <w:tcPr>
            <w:tcW w:w="2700" w:type="dxa"/>
            <w:vAlign w:val="center"/>
          </w:tcPr>
          <w:p>
            <w:pPr>
              <w:rPr>
                <w:rFonts w:hint="eastAsia"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0.3</w:t>
            </w:r>
            <w:r>
              <w:rPr>
                <w:rFonts w:hint="eastAsia" w:ascii="黑体" w:hAnsi="黑体" w:eastAsia="黑体"/>
                <w:color w:val="000000" w:themeColor="text1"/>
                <w14:textFill>
                  <w14:solidFill>
                    <w14:schemeClr w14:val="tx1"/>
                  </w14:solidFill>
                </w14:textFill>
              </w:rPr>
              <w:t>分</w:t>
            </w:r>
          </w:p>
        </w:tc>
      </w:tr>
    </w:tbl>
    <w:p>
      <w:pPr>
        <w:rPr>
          <w:rFonts w:hint="eastAsia" w:ascii="黑体" w:hAnsi="黑体" w:eastAsia="黑体"/>
          <w:b/>
          <w:color w:val="000000" w:themeColor="text1"/>
          <w14:textFill>
            <w14:solidFill>
              <w14:schemeClr w14:val="tx1"/>
            </w14:solidFill>
          </w14:textFill>
        </w:rPr>
      </w:pPr>
    </w:p>
    <w:p>
      <w:p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3）年级、班级</w:t>
      </w:r>
    </w:p>
    <w:tbl>
      <w:tblPr>
        <w:tblStyle w:val="4"/>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项目</w:t>
            </w:r>
          </w:p>
        </w:tc>
        <w:tc>
          <w:tcPr>
            <w:tcW w:w="2700" w:type="dxa"/>
            <w:vAlign w:val="center"/>
          </w:tcPr>
          <w:p>
            <w:pPr>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班  长</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正4分，副3分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党支部书记</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党支部委员</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团支部书记 </w:t>
            </w:r>
          </w:p>
        </w:tc>
        <w:tc>
          <w:tcPr>
            <w:tcW w:w="2700"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学习委员</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其余班委（如心理委员、组织委员等）</w:t>
            </w:r>
          </w:p>
        </w:tc>
        <w:tc>
          <w:tcPr>
            <w:tcW w:w="2700"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top"/>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宿舍楼楼长</w:t>
            </w:r>
          </w:p>
        </w:tc>
        <w:tc>
          <w:tcPr>
            <w:tcW w:w="2700" w:type="dxa"/>
            <w:vAlign w:val="top"/>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bl>
    <w:p>
      <w:pPr>
        <w:ind w:left="420"/>
        <w:rPr>
          <w:rFonts w:hint="eastAsia" w:ascii="黑体" w:hAnsi="黑体" w:eastAsia="黑体"/>
          <w:b/>
          <w:color w:val="000000" w:themeColor="text1"/>
          <w:sz w:val="24"/>
          <w14:textFill>
            <w14:solidFill>
              <w14:schemeClr w14:val="tx1"/>
            </w14:solidFill>
          </w14:textFill>
        </w:rPr>
      </w:pPr>
    </w:p>
    <w:tbl>
      <w:tblPr>
        <w:tblStyle w:val="4"/>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8767" w:type="dxa"/>
            <w:vAlign w:val="center"/>
          </w:tcPr>
          <w:p>
            <w:pPr>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备注：</w:t>
            </w:r>
          </w:p>
          <w:p>
            <w:pPr>
              <w:numPr>
                <w:ilvl w:val="0"/>
                <w:numId w:val="8"/>
              </w:numPr>
              <w:jc w:val="lef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学生干部因特殊原因任职满一学期不满一学年者，不加分。</w:t>
            </w:r>
          </w:p>
          <w:p>
            <w:pPr>
              <w:numPr>
                <w:ilvl w:val="0"/>
                <w:numId w:val="8"/>
              </w:numPr>
              <w:jc w:val="left"/>
              <w:rPr>
                <w:rFonts w:hint="eastAsia" w:ascii="黑体" w:hAnsi="黑体" w:eastAsia="黑体"/>
                <w:b/>
                <w:color w:val="000000" w:themeColor="text1"/>
                <w:szCs w:val="21"/>
                <w14:textFill>
                  <w14:solidFill>
                    <w14:schemeClr w14:val="tx1"/>
                  </w14:solidFill>
                </w14:textFill>
              </w:rPr>
            </w:pPr>
            <w:r>
              <w:rPr>
                <w:rFonts w:hint="eastAsia" w:ascii="黑体" w:hAnsi="黑体" w:eastAsia="黑体"/>
                <w:b/>
                <w:color w:val="000000" w:themeColor="text1"/>
                <w:szCs w:val="21"/>
                <w14:textFill>
                  <w14:solidFill>
                    <w14:schemeClr w14:val="tx1"/>
                  </w14:solidFill>
                </w14:textFill>
              </w:rPr>
              <w:t>身兼多职者，只计其职位的最高分，不重复加分；</w:t>
            </w:r>
            <w:r>
              <w:rPr>
                <w:rFonts w:hint="eastAsia" w:ascii="黑体" w:hAnsi="黑体" w:eastAsia="黑体"/>
                <w:color w:val="000000" w:themeColor="text1"/>
                <w:szCs w:val="21"/>
                <w14:textFill>
                  <w14:solidFill>
                    <w14:schemeClr w14:val="tx1"/>
                  </w14:solidFill>
                </w14:textFill>
              </w:rPr>
              <w:t>身兼任校艺术团多队队员的不重复加分，各职务均能履行职责并有突出表现者（即各职务加分均被主管部门评定为最高分者），经学院学生工作主管领导审定（由主管提供证明，辅导员签字即可视为有效），在提供相关证明的前提下，可酌情另加1—2分。</w:t>
            </w:r>
          </w:p>
          <w:p>
            <w:pPr>
              <w:numPr>
                <w:ilvl w:val="0"/>
                <w:numId w:val="8"/>
              </w:numPr>
              <w:jc w:val="left"/>
              <w:rPr>
                <w:rFonts w:hint="eastAsia" w:ascii="黑体" w:hAnsi="黑体" w:eastAsia="黑体"/>
                <w:b/>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学生干部不履行职责、工作马虎、同学反映意见比较多的，经年级测评小组审议通过，可酌情减1-2分；学生干部工作极不负责、同学反映意见比较强的，经年级测评小组审定通过不给予社会工作加分。</w:t>
            </w:r>
          </w:p>
          <w:p>
            <w:pPr>
              <w:numPr>
                <w:ilvl w:val="0"/>
                <w:numId w:val="8"/>
              </w:numPr>
              <w:jc w:val="left"/>
              <w:rPr>
                <w:rFonts w:hint="eastAsia" w:ascii="黑体" w:hAnsi="黑体" w:eastAsia="黑体"/>
                <w:b/>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学生社团必须经过是校团委认可的正式组织才可加分（如AIESEC的财务总监等不加分）。</w:t>
            </w:r>
          </w:p>
          <w:p>
            <w:pPr>
              <w:numPr>
                <w:ilvl w:val="0"/>
                <w:numId w:val="8"/>
              </w:numPr>
              <w:jc w:val="left"/>
              <w:rPr>
                <w:rFonts w:hint="eastAsia"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云山实体成员一律不加分。</w:t>
            </w:r>
          </w:p>
          <w:p>
            <w:pPr>
              <w:widowControl/>
              <w:numPr>
                <w:ilvl w:val="0"/>
                <w:numId w:val="8"/>
              </w:numPr>
              <w:ind w:left="420" w:leftChars="0" w:hanging="420" w:firstLineChars="0"/>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学生会主席、各部门部长、队长可对不履行职责、工作马虎的干事提出不加分说明或建议。</w:t>
            </w:r>
          </w:p>
        </w:tc>
      </w:tr>
    </w:tbl>
    <w:p>
      <w:pPr>
        <w:pStyle w:val="9"/>
        <w:ind w:firstLine="0" w:firstLineChars="0"/>
        <w:jc w:val="left"/>
        <w:rPr>
          <w:rFonts w:hint="eastAsia" w:ascii="黑体" w:hAnsi="黑体" w:eastAsia="黑体"/>
          <w:b/>
          <w:color w:val="000000" w:themeColor="text1"/>
          <w:sz w:val="28"/>
          <w:szCs w:val="28"/>
          <w14:textFill>
            <w14:solidFill>
              <w14:schemeClr w14:val="tx1"/>
            </w14:solidFill>
          </w14:textFill>
        </w:rPr>
      </w:pPr>
    </w:p>
    <w:p>
      <w:pPr>
        <w:pStyle w:val="9"/>
        <w:ind w:firstLine="0" w:firstLineChars="0"/>
        <w:jc w:val="left"/>
        <w:rPr>
          <w:rFonts w:hint="eastAsia"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（二）当学年度参加社会实践和校园文化活动加分：</w:t>
      </w:r>
    </w:p>
    <w:p>
      <w:pPr>
        <w:pStyle w:val="9"/>
        <w:ind w:firstLine="0" w:firstLineChars="0"/>
        <w:rPr>
          <w:rFonts w:hint="eastAsia"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1）比赛活动</w:t>
      </w:r>
    </w:p>
    <w:tbl>
      <w:tblPr>
        <w:tblStyle w:val="4"/>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3" w:type="dxa"/>
            <w:vAlign w:val="center"/>
          </w:tcPr>
          <w:p>
            <w:pPr>
              <w:rPr>
                <w:rFonts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 xml:space="preserve">项目                                                      </w:t>
            </w:r>
          </w:p>
        </w:tc>
        <w:tc>
          <w:tcPr>
            <w:tcW w:w="2520" w:type="dxa"/>
            <w:vAlign w:val="center"/>
          </w:tcPr>
          <w:p>
            <w:pPr>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093" w:type="dxa"/>
            <w:vAlign w:val="top"/>
          </w:tcPr>
          <w:p>
            <w:pPr>
              <w:autoSpaceDE w:val="0"/>
              <w:autoSpaceDN w:val="0"/>
              <w:adjustRightInd w:val="0"/>
              <w:ind w:left="108"/>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国家级（</w:t>
            </w:r>
            <w:r>
              <w:rPr>
                <w:rFonts w:hint="eastAsia" w:ascii="黑体" w:hAnsi="宋?" w:eastAsia="黑体" w:cs="宋?"/>
                <w:color w:val="000000" w:themeColor="text1"/>
                <w:kern w:val="0"/>
                <w:szCs w:val="21"/>
                <w14:textFill>
                  <w14:solidFill>
                    <w14:schemeClr w14:val="tx1"/>
                  </w14:solidFill>
                </w14:textFill>
              </w:rPr>
              <w:t>一、二、三等奖、参加）</w:t>
            </w:r>
          </w:p>
        </w:tc>
        <w:tc>
          <w:tcPr>
            <w:tcW w:w="2520" w:type="dxa"/>
            <w:vAlign w:val="top"/>
          </w:tcPr>
          <w:p>
            <w:pPr>
              <w:autoSpaceDE w:val="0"/>
              <w:autoSpaceDN w:val="0"/>
              <w:adjustRightInd w:val="0"/>
              <w:ind w:left="107"/>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8、7、6、4分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093" w:type="dxa"/>
            <w:vAlign w:val="top"/>
          </w:tcPr>
          <w:p>
            <w:pPr>
              <w:autoSpaceDE w:val="0"/>
              <w:autoSpaceDN w:val="0"/>
              <w:adjustRightInd w:val="0"/>
              <w:ind w:left="108"/>
              <w:jc w:val="left"/>
              <w:rPr>
                <w:rFonts w:hint="eastAsia" w:ascii="黑体" w:hAnsi="宋?" w:eastAsia="黑体" w:cs="宋?"/>
                <w:color w:val="000000" w:themeColor="text1"/>
                <w:kern w:val="0"/>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省级（</w:t>
            </w:r>
            <w:r>
              <w:rPr>
                <w:rFonts w:hint="eastAsia" w:ascii="黑体" w:hAnsi="宋?" w:eastAsia="黑体" w:cs="宋?"/>
                <w:color w:val="000000" w:themeColor="text1"/>
                <w:kern w:val="0"/>
                <w:szCs w:val="21"/>
                <w14:textFill>
                  <w14:solidFill>
                    <w14:schemeClr w14:val="tx1"/>
                  </w14:solidFill>
                </w14:textFill>
              </w:rPr>
              <w:t>一、二、三等奖、参加）</w:t>
            </w:r>
          </w:p>
        </w:tc>
        <w:tc>
          <w:tcPr>
            <w:tcW w:w="2520" w:type="dxa"/>
            <w:vAlign w:val="top"/>
          </w:tcPr>
          <w:p>
            <w:pPr>
              <w:autoSpaceDE w:val="0"/>
              <w:autoSpaceDN w:val="0"/>
              <w:adjustRightInd w:val="0"/>
              <w:ind w:left="107"/>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6、5、4、3分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093" w:type="dxa"/>
            <w:vAlign w:val="top"/>
          </w:tcPr>
          <w:p>
            <w:pPr>
              <w:autoSpaceDE w:val="0"/>
              <w:autoSpaceDN w:val="0"/>
              <w:adjustRightInd w:val="0"/>
              <w:ind w:left="108"/>
              <w:jc w:val="left"/>
              <w:rPr>
                <w:rFonts w:hint="eastAsia" w:ascii="黑体" w:hAnsi="宋体" w:eastAsia="黑体"/>
                <w:color w:val="000000" w:themeColor="text1"/>
                <w:szCs w:val="21"/>
                <w14:textFill>
                  <w14:solidFill>
                    <w14:schemeClr w14:val="tx1"/>
                  </w14:solidFill>
                </w14:textFill>
              </w:rPr>
            </w:pPr>
            <w:r>
              <w:rPr>
                <w:rFonts w:hint="eastAsia" w:ascii="黑体" w:hAnsi="宋?" w:eastAsia="黑体" w:cs="宋?"/>
                <w:color w:val="000000" w:themeColor="text1"/>
                <w:kern w:val="0"/>
                <w:szCs w:val="21"/>
                <w14:textFill>
                  <w14:solidFill>
                    <w14:schemeClr w14:val="tx1"/>
                  </w14:solidFill>
                </w14:textFill>
              </w:rPr>
              <w:t>市级</w:t>
            </w:r>
            <w:r>
              <w:rPr>
                <w:rFonts w:hint="eastAsia" w:ascii="黑体" w:hAnsi="宋体" w:eastAsia="黑体"/>
                <w:color w:val="000000" w:themeColor="text1"/>
                <w:szCs w:val="21"/>
                <w14:textFill>
                  <w14:solidFill>
                    <w14:schemeClr w14:val="tx1"/>
                  </w14:solidFill>
                </w14:textFill>
              </w:rPr>
              <w:t>（</w:t>
            </w:r>
            <w:r>
              <w:rPr>
                <w:rFonts w:hint="eastAsia" w:ascii="黑体" w:hAnsi="宋?" w:eastAsia="黑体" w:cs="宋?"/>
                <w:color w:val="000000" w:themeColor="text1"/>
                <w:kern w:val="0"/>
                <w:szCs w:val="21"/>
                <w14:textFill>
                  <w14:solidFill>
                    <w14:schemeClr w14:val="tx1"/>
                  </w14:solidFill>
                </w14:textFill>
              </w:rPr>
              <w:t>一、二、三等奖、参加）</w:t>
            </w:r>
          </w:p>
        </w:tc>
        <w:tc>
          <w:tcPr>
            <w:tcW w:w="2520" w:type="dxa"/>
            <w:vAlign w:val="top"/>
          </w:tcPr>
          <w:p>
            <w:pPr>
              <w:autoSpaceDE w:val="0"/>
              <w:autoSpaceDN w:val="0"/>
              <w:adjustRightInd w:val="0"/>
              <w:ind w:left="107"/>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4、3、2、2分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093" w:type="dxa"/>
            <w:vAlign w:val="top"/>
          </w:tcPr>
          <w:p>
            <w:pPr>
              <w:autoSpaceDE w:val="0"/>
              <w:autoSpaceDN w:val="0"/>
              <w:adjustRightInd w:val="0"/>
              <w:ind w:left="108"/>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校级（</w:t>
            </w:r>
            <w:r>
              <w:rPr>
                <w:rFonts w:hint="eastAsia" w:ascii="黑体" w:hAnsi="宋?" w:eastAsia="黑体" w:cs="宋?"/>
                <w:color w:val="000000" w:themeColor="text1"/>
                <w:kern w:val="0"/>
                <w:szCs w:val="21"/>
                <w14:textFill>
                  <w14:solidFill>
                    <w14:schemeClr w14:val="tx1"/>
                  </w14:solidFill>
                </w14:textFill>
              </w:rPr>
              <w:t>一、二、三等奖、参加）</w:t>
            </w:r>
          </w:p>
        </w:tc>
        <w:tc>
          <w:tcPr>
            <w:tcW w:w="2520" w:type="dxa"/>
            <w:vAlign w:val="top"/>
          </w:tcPr>
          <w:p>
            <w:pPr>
              <w:autoSpaceDE w:val="0"/>
              <w:autoSpaceDN w:val="0"/>
              <w:adjustRightInd w:val="0"/>
              <w:ind w:left="107"/>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2、1.5、1、1分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6093" w:type="dxa"/>
            <w:vAlign w:val="top"/>
          </w:tcPr>
          <w:p>
            <w:pPr>
              <w:autoSpaceDE w:val="0"/>
              <w:autoSpaceDN w:val="0"/>
              <w:adjustRightInd w:val="0"/>
              <w:ind w:left="108"/>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院级（</w:t>
            </w:r>
            <w:r>
              <w:rPr>
                <w:rFonts w:hint="eastAsia" w:ascii="黑体" w:hAnsi="宋?" w:eastAsia="黑体" w:cs="宋?"/>
                <w:color w:val="000000" w:themeColor="text1"/>
                <w:kern w:val="0"/>
                <w:szCs w:val="21"/>
                <w14:textFill>
                  <w14:solidFill>
                    <w14:schemeClr w14:val="tx1"/>
                  </w14:solidFill>
                </w14:textFill>
              </w:rPr>
              <w:t>一、二、三等奖、参加）</w:t>
            </w:r>
          </w:p>
        </w:tc>
        <w:tc>
          <w:tcPr>
            <w:tcW w:w="2520" w:type="dxa"/>
            <w:vAlign w:val="top"/>
          </w:tcPr>
          <w:p>
            <w:pPr>
              <w:autoSpaceDE w:val="0"/>
              <w:autoSpaceDN w:val="0"/>
              <w:adjustRightInd w:val="0"/>
              <w:ind w:left="107"/>
              <w:jc w:val="lef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1.5、1、0.5、0.5分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613" w:type="dxa"/>
            <w:gridSpan w:val="2"/>
            <w:vAlign w:val="center"/>
          </w:tcPr>
          <w:p>
            <w:pPr>
              <w:spacing w:line="276" w:lineRule="auto"/>
              <w:ind w:left="420" w:hanging="420" w:hangingChars="200"/>
              <w:rPr>
                <w:rFonts w:hint="eastAsia" w:ascii="黑体" w:hAnsi="黑体" w:eastAsia="黑体"/>
                <w:color w:val="000000" w:themeColor="text1"/>
                <w:szCs w:val="21"/>
                <w14:textFill>
                  <w14:solidFill>
                    <w14:schemeClr w14:val="tx1"/>
                  </w14:solidFill>
                </w14:textFill>
              </w:rPr>
            </w:pPr>
          </w:p>
        </w:tc>
      </w:tr>
    </w:tbl>
    <w:p>
      <w:pPr>
        <w:pStyle w:val="9"/>
        <w:ind w:firstLine="0" w:firstLineChars="0"/>
        <w:jc w:val="left"/>
        <w:rPr>
          <w:rFonts w:hint="eastAsia" w:ascii="黑体" w:hAnsi="黑体" w:eastAsia="黑体"/>
          <w:b/>
          <w:color w:val="000000" w:themeColor="text1"/>
          <w:sz w:val="24"/>
          <w:szCs w:val="24"/>
          <w14:textFill>
            <w14:solidFill>
              <w14:schemeClr w14:val="tx1"/>
            </w14:solidFill>
          </w14:textFill>
        </w:rPr>
      </w:pPr>
    </w:p>
    <w:p>
      <w:pPr>
        <w:pStyle w:val="9"/>
        <w:ind w:firstLine="0" w:firstLineChars="0"/>
        <w:jc w:val="left"/>
        <w:rPr>
          <w:rFonts w:hint="eastAsia" w:ascii="黑体" w:hAnsi="黑体" w:eastAsia="黑体"/>
          <w:b/>
          <w:color w:val="000000" w:themeColor="text1"/>
          <w:sz w:val="24"/>
          <w:szCs w:val="24"/>
          <w14:textFill>
            <w14:solidFill>
              <w14:schemeClr w14:val="tx1"/>
            </w14:solidFill>
          </w14:textFill>
        </w:rPr>
      </w:pPr>
    </w:p>
    <w:p>
      <w:pPr>
        <w:pStyle w:val="9"/>
        <w:ind w:firstLine="0" w:firstLineChars="0"/>
        <w:jc w:val="left"/>
        <w:rPr>
          <w:rFonts w:hint="eastAsia" w:ascii="黑体" w:hAnsi="黑体" w:eastAsia="黑体"/>
          <w:b/>
          <w:color w:val="000000" w:themeColor="text1"/>
          <w:sz w:val="24"/>
          <w:szCs w:val="24"/>
          <w14:textFill>
            <w14:solidFill>
              <w14:schemeClr w14:val="tx1"/>
            </w14:solidFill>
          </w14:textFill>
        </w:rPr>
      </w:pPr>
    </w:p>
    <w:p>
      <w:pPr>
        <w:pStyle w:val="9"/>
        <w:ind w:firstLine="0" w:firstLineChars="0"/>
        <w:jc w:val="left"/>
        <w:rPr>
          <w:rFonts w:hint="eastAsia" w:ascii="黑体" w:hAnsi="黑体" w:eastAsia="黑体"/>
          <w:b/>
          <w:color w:val="000000" w:themeColor="text1"/>
          <w:sz w:val="24"/>
          <w:szCs w:val="24"/>
          <w14:textFill>
            <w14:solidFill>
              <w14:schemeClr w14:val="tx1"/>
            </w14:solidFill>
          </w14:textFill>
        </w:rPr>
      </w:pPr>
    </w:p>
    <w:p>
      <w:pPr>
        <w:pStyle w:val="9"/>
        <w:ind w:firstLine="0" w:firstLineChars="0"/>
        <w:jc w:val="left"/>
        <w:rPr>
          <w:rFonts w:hint="eastAsia" w:ascii="黑体" w:hAnsi="黑体" w:eastAsia="黑体"/>
          <w:b/>
          <w:color w:val="000000" w:themeColor="text1"/>
          <w:sz w:val="24"/>
          <w:szCs w:val="24"/>
          <w14:textFill>
            <w14:solidFill>
              <w14:schemeClr w14:val="tx1"/>
            </w14:solidFill>
          </w14:textFill>
        </w:rPr>
      </w:pPr>
    </w:p>
    <w:p>
      <w:pPr>
        <w:pStyle w:val="9"/>
        <w:ind w:firstLine="0" w:firstLineChars="0"/>
        <w:jc w:val="left"/>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2）志愿者或工作人员</w:t>
      </w:r>
    </w:p>
    <w:tbl>
      <w:tblPr>
        <w:tblStyle w:val="4"/>
        <w:tblW w:w="8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7"/>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067" w:type="dxa"/>
            <w:vAlign w:val="center"/>
          </w:tcPr>
          <w:p>
            <w:pPr>
              <w:rPr>
                <w:rFonts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 xml:space="preserve">项目                                                      </w:t>
            </w:r>
          </w:p>
        </w:tc>
        <w:tc>
          <w:tcPr>
            <w:tcW w:w="2725" w:type="dxa"/>
            <w:vAlign w:val="center"/>
          </w:tcPr>
          <w:p>
            <w:pPr>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067" w:type="dxa"/>
            <w:vAlign w:val="center"/>
          </w:tcPr>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校级及校级以上志愿者</w:t>
            </w:r>
          </w:p>
        </w:tc>
        <w:tc>
          <w:tcPr>
            <w:tcW w:w="2725" w:type="dxa"/>
            <w:vAlign w:val="center"/>
          </w:tcPr>
          <w:p>
            <w:pPr>
              <w:rPr>
                <w:rFonts w:hint="eastAsia" w:ascii="黑体" w:hAnsi="宋体" w:eastAsia="黑体"/>
                <w:color w:val="000000" w:themeColor="text1"/>
                <w:szCs w:val="21"/>
                <w14:textFill>
                  <w14:solidFill>
                    <w14:schemeClr w14:val="tx1"/>
                  </w14:solidFill>
                </w14:textFill>
              </w:rPr>
            </w:pPr>
            <w:r>
              <w:rPr>
                <w:rFonts w:ascii="黑体" w:hAnsi="宋体" w:eastAsia="黑体"/>
                <w:color w:val="000000" w:themeColor="text1"/>
                <w:szCs w:val="21"/>
                <w14:textFill>
                  <w14:solidFill>
                    <w14:schemeClr w14:val="tx1"/>
                  </w14:solidFill>
                </w14:textFill>
              </w:rPr>
              <w:t>0.4</w:t>
            </w:r>
            <w:r>
              <w:rPr>
                <w:rFonts w:hint="eastAsia" w:ascii="黑体" w:hAnsi="宋体" w:eastAsia="黑体"/>
                <w:color w:val="000000" w:themeColor="text1"/>
                <w:szCs w:val="21"/>
                <w14:textFill>
                  <w14:solidFill>
                    <w14:schemeClr w14:val="tx1"/>
                  </w14:solidFill>
                </w14:textFill>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067" w:type="dxa"/>
            <w:vAlign w:val="center"/>
          </w:tcPr>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院级志愿者</w:t>
            </w:r>
          </w:p>
        </w:tc>
        <w:tc>
          <w:tcPr>
            <w:tcW w:w="2725" w:type="dxa"/>
            <w:vAlign w:val="center"/>
          </w:tcPr>
          <w:p>
            <w:pPr>
              <w:rPr>
                <w:rFonts w:ascii="黑体" w:hAnsi="宋体" w:eastAsia="黑体"/>
                <w:color w:val="000000" w:themeColor="text1"/>
                <w:szCs w:val="21"/>
                <w14:textFill>
                  <w14:solidFill>
                    <w14:schemeClr w14:val="tx1"/>
                  </w14:solidFill>
                </w14:textFill>
              </w:rPr>
            </w:pPr>
            <w:r>
              <w:rPr>
                <w:rFonts w:ascii="黑体" w:hAnsi="宋体" w:eastAsia="黑体"/>
                <w:color w:val="000000" w:themeColor="text1"/>
                <w:szCs w:val="21"/>
                <w14:textFill>
                  <w14:solidFill>
                    <w14:schemeClr w14:val="tx1"/>
                  </w14:solidFill>
                </w14:textFill>
              </w:rPr>
              <w:t>0.2</w:t>
            </w:r>
            <w:r>
              <w:rPr>
                <w:rFonts w:hint="eastAsia" w:ascii="黑体" w:hAnsi="宋体" w:eastAsia="黑体"/>
                <w:color w:val="000000" w:themeColor="text1"/>
                <w:szCs w:val="21"/>
                <w14:textFill>
                  <w14:solidFill>
                    <w14:schemeClr w14:val="tx1"/>
                  </w14:solidFill>
                </w14:textFill>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067" w:type="dxa"/>
            <w:vAlign w:val="center"/>
          </w:tcPr>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校级及校级以上竞赛活动的工作人员</w:t>
            </w:r>
          </w:p>
        </w:tc>
        <w:tc>
          <w:tcPr>
            <w:tcW w:w="2725" w:type="dxa"/>
            <w:vAlign w:val="center"/>
          </w:tcPr>
          <w:p>
            <w:pPr>
              <w:rPr>
                <w:rFonts w:ascii="黑体" w:hAnsi="宋体" w:eastAsia="黑体"/>
                <w:color w:val="000000" w:themeColor="text1"/>
                <w:szCs w:val="21"/>
                <w14:textFill>
                  <w14:solidFill>
                    <w14:schemeClr w14:val="tx1"/>
                  </w14:solidFill>
                </w14:textFill>
              </w:rPr>
            </w:pPr>
            <w:r>
              <w:rPr>
                <w:rFonts w:ascii="黑体" w:hAnsi="宋体" w:eastAsia="黑体"/>
                <w:color w:val="000000" w:themeColor="text1"/>
                <w:szCs w:val="21"/>
                <w14:textFill>
                  <w14:solidFill>
                    <w14:schemeClr w14:val="tx1"/>
                  </w14:solidFill>
                </w14:textFill>
              </w:rPr>
              <w:t>0.4</w:t>
            </w:r>
            <w:r>
              <w:rPr>
                <w:rFonts w:hint="eastAsia" w:ascii="黑体" w:hAnsi="宋体" w:eastAsia="黑体"/>
                <w:color w:val="000000" w:themeColor="text1"/>
                <w:szCs w:val="21"/>
                <w14:textFill>
                  <w14:solidFill>
                    <w14:schemeClr w14:val="tx1"/>
                  </w14:solidFill>
                </w14:textFill>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067" w:type="dxa"/>
            <w:vAlign w:val="center"/>
          </w:tcPr>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院级竞赛活动的工作人员</w:t>
            </w:r>
          </w:p>
        </w:tc>
        <w:tc>
          <w:tcPr>
            <w:tcW w:w="2725" w:type="dxa"/>
            <w:vAlign w:val="center"/>
          </w:tcPr>
          <w:p>
            <w:pPr>
              <w:rPr>
                <w:rFonts w:ascii="黑体" w:hAnsi="宋体" w:eastAsia="黑体"/>
                <w:color w:val="000000" w:themeColor="text1"/>
                <w:szCs w:val="21"/>
                <w14:textFill>
                  <w14:solidFill>
                    <w14:schemeClr w14:val="tx1"/>
                  </w14:solidFill>
                </w14:textFill>
              </w:rPr>
            </w:pPr>
            <w:r>
              <w:rPr>
                <w:rFonts w:ascii="黑体" w:hAnsi="宋体" w:eastAsia="黑体"/>
                <w:color w:val="000000" w:themeColor="text1"/>
                <w:szCs w:val="21"/>
                <w14:textFill>
                  <w14:solidFill>
                    <w14:schemeClr w14:val="tx1"/>
                  </w14:solidFill>
                </w14:textFill>
              </w:rPr>
              <w:t>0.2</w:t>
            </w:r>
            <w:r>
              <w:rPr>
                <w:rFonts w:hint="eastAsia" w:ascii="黑体" w:hAnsi="宋体" w:eastAsia="黑体"/>
                <w:color w:val="000000" w:themeColor="text1"/>
                <w:szCs w:val="21"/>
                <w14:textFill>
                  <w14:solidFill>
                    <w14:schemeClr w14:val="tx1"/>
                  </w14:solidFill>
                </w14:textFill>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067" w:type="dxa"/>
            <w:vAlign w:val="center"/>
          </w:tcPr>
          <w:p>
            <w:pPr>
              <w:pStyle w:val="7"/>
              <w:spacing w:line="400" w:lineRule="exact"/>
              <w:ind w:firstLine="0"/>
              <w:jc w:val="left"/>
              <w:rPr>
                <w:rFonts w:hint="eastAsia" w:ascii="黑体" w:hAnsi="宋体" w:eastAsia="黑体"/>
                <w:b w:val="0"/>
                <w:bCs w:val="0"/>
                <w:color w:val="000000" w:themeColor="text1"/>
                <w:spacing w:val="0"/>
                <w:kern w:val="2"/>
                <w:sz w:val="21"/>
                <w:szCs w:val="21"/>
                <w14:textFill>
                  <w14:solidFill>
                    <w14:schemeClr w14:val="tx1"/>
                  </w14:solidFill>
                </w14:textFill>
              </w:rPr>
            </w:pPr>
            <w:r>
              <w:rPr>
                <w:rFonts w:hint="eastAsia" w:ascii="黑体" w:hAnsi="宋?" w:eastAsia="黑体" w:cs="宋?"/>
                <w:b w:val="0"/>
                <w:bCs w:val="0"/>
                <w:color w:val="000000" w:themeColor="text1"/>
                <w:spacing w:val="0"/>
                <w:sz w:val="21"/>
                <w:szCs w:val="21"/>
                <w14:textFill>
                  <w14:solidFill>
                    <w14:schemeClr w14:val="tx1"/>
                  </w14:solidFill>
                </w14:textFill>
              </w:rPr>
              <w:t>暑期三下乡、寻访校友足迹（学院、学校、社团）、图书馆志愿者</w:t>
            </w:r>
          </w:p>
        </w:tc>
        <w:tc>
          <w:tcPr>
            <w:tcW w:w="2725" w:type="dxa"/>
            <w:vAlign w:val="center"/>
          </w:tcPr>
          <w:p>
            <w:pPr>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统一加0.5分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067" w:type="dxa"/>
            <w:vAlign w:val="center"/>
          </w:tcPr>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“一奖两会”获得“志愿者突出贡献奖”称号</w:t>
            </w:r>
          </w:p>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“一奖两会”获得“一奖两会志愿者</w:t>
            </w:r>
            <w:r>
              <w:rPr>
                <w:rFonts w:ascii="黑体" w:hAnsi="宋体" w:eastAsia="黑体"/>
                <w:color w:val="000000" w:themeColor="text1"/>
                <w:szCs w:val="21"/>
                <w14:textFill>
                  <w14:solidFill>
                    <w14:schemeClr w14:val="tx1"/>
                  </w14:solidFill>
                </w14:textFill>
              </w:rPr>
              <w:t>优秀奖</w:t>
            </w:r>
            <w:r>
              <w:rPr>
                <w:rFonts w:hint="eastAsia" w:ascii="黑体" w:hAnsi="宋体" w:eastAsia="黑体"/>
                <w:color w:val="000000" w:themeColor="text1"/>
                <w:szCs w:val="21"/>
                <w14:textFill>
                  <w14:solidFill>
                    <w14:schemeClr w14:val="tx1"/>
                  </w14:solidFill>
                </w14:textFill>
              </w:rPr>
              <w:t>”称号</w:t>
            </w:r>
          </w:p>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“一奖两会”获得“一奖两会志愿者服务奖”称号</w:t>
            </w:r>
          </w:p>
        </w:tc>
        <w:tc>
          <w:tcPr>
            <w:tcW w:w="2725" w:type="dxa"/>
            <w:vAlign w:val="center"/>
          </w:tcPr>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2分</w:t>
            </w:r>
          </w:p>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1.5分</w:t>
            </w:r>
          </w:p>
          <w:p>
            <w:p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8792" w:type="dxa"/>
            <w:gridSpan w:val="2"/>
            <w:vAlign w:val="center"/>
          </w:tcPr>
          <w:p>
            <w:pPr>
              <w:spacing w:line="276" w:lineRule="auto"/>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备注：</w:t>
            </w:r>
          </w:p>
          <w:p>
            <w:pPr>
              <w:numPr>
                <w:ilvl w:val="0"/>
                <w:numId w:val="9"/>
              </w:numPr>
              <w:spacing w:line="276"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校内外有明确身份登记认证或有效证件的志愿者皆可加分（志愿者身份和其所参加的活动不能同时加分），其他学院志愿者活动统一算院级。</w:t>
            </w:r>
          </w:p>
          <w:p>
            <w:pPr>
              <w:numPr>
                <w:ilvl w:val="0"/>
                <w:numId w:val="9"/>
              </w:numPr>
              <w:jc w:val="left"/>
              <w:rPr>
                <w:rFonts w:hint="eastAsia" w:ascii="黑体" w:hAnsi="黑体" w:eastAsia="黑体"/>
                <w:b w:val="0"/>
                <w:bCs/>
                <w:color w:val="000000" w:themeColor="text1"/>
                <w14:textFill>
                  <w14:solidFill>
                    <w14:schemeClr w14:val="tx1"/>
                  </w14:solidFill>
                </w14:textFill>
              </w:rPr>
            </w:pPr>
            <w:r>
              <w:rPr>
                <w:rFonts w:hint="eastAsia" w:ascii="黑体" w:hAnsi="宋体" w:eastAsia="黑体"/>
                <w:b w:val="0"/>
                <w:bCs/>
                <w:color w:val="000000" w:themeColor="text1"/>
                <w:szCs w:val="21"/>
                <w14:textFill>
                  <w14:solidFill>
                    <w14:schemeClr w14:val="tx1"/>
                  </w14:solidFill>
                </w14:textFill>
              </w:rPr>
              <w:t>学生干部执行其本职职务的活动不加其工作人员分</w:t>
            </w:r>
            <w:r>
              <w:rPr>
                <w:rFonts w:hint="eastAsia" w:ascii="黑体" w:hAnsi="宋体" w:eastAsia="黑体"/>
                <w:b w:val="0"/>
                <w:bCs/>
                <w:color w:val="000000" w:themeColor="text1"/>
                <w:szCs w:val="21"/>
                <w:lang w:eastAsia="zh-CN"/>
                <w14:textFill>
                  <w14:solidFill>
                    <w14:schemeClr w14:val="tx1"/>
                  </w14:solidFill>
                </w14:textFill>
              </w:rPr>
              <w:t>（如：</w:t>
            </w:r>
            <w:r>
              <w:rPr>
                <w:rFonts w:hint="eastAsia" w:ascii="黑体" w:hAnsi="宋体" w:eastAsia="黑体"/>
                <w:b w:val="0"/>
                <w:bCs/>
                <w:color w:val="000000" w:themeColor="text1"/>
                <w:szCs w:val="21"/>
                <w14:textFill>
                  <w14:solidFill>
                    <w14:schemeClr w14:val="tx1"/>
                  </w14:solidFill>
                </w14:textFill>
              </w:rPr>
              <w:t>团学部长参加新学期迎新活动不加分，实践部成员若是志愿者活动负责人，则不予以加分；若不是该项目负责人，则可加分。</w:t>
            </w:r>
            <w:r>
              <w:rPr>
                <w:rFonts w:hint="eastAsia" w:ascii="黑体" w:hAnsi="宋体" w:eastAsia="黑体"/>
                <w:b w:val="0"/>
                <w:bCs/>
                <w:color w:val="000000" w:themeColor="text1"/>
                <w:szCs w:val="21"/>
                <w:lang w:eastAsia="zh-CN"/>
                <w14:textFill>
                  <w14:solidFill>
                    <w14:schemeClr w14:val="tx1"/>
                  </w14:solidFill>
                </w14:textFill>
              </w:rPr>
              <w:t>）</w:t>
            </w:r>
          </w:p>
          <w:p>
            <w:pPr>
              <w:numPr>
                <w:ilvl w:val="0"/>
                <w:numId w:val="9"/>
              </w:numPr>
              <w:jc w:val="left"/>
              <w:rPr>
                <w:rFonts w:hint="eastAsia" w:ascii="黑体" w:hAnsi="黑体" w:eastAsia="黑体"/>
                <w:color w:val="000000" w:themeColor="text1"/>
                <w14:textFill>
                  <w14:solidFill>
                    <w14:schemeClr w14:val="tx1"/>
                  </w14:solidFill>
                </w14:textFill>
              </w:rPr>
            </w:pPr>
            <w:r>
              <w:rPr>
                <w:rFonts w:hint="eastAsia" w:ascii="黑体" w:hAnsi="宋?" w:eastAsia="黑体" w:cs="宋?"/>
                <w:color w:val="000000" w:themeColor="text1"/>
                <w:kern w:val="0"/>
                <w:szCs w:val="21"/>
                <w14:textFill>
                  <w14:solidFill>
                    <w14:schemeClr w14:val="tx1"/>
                  </w14:solidFill>
                </w14:textFill>
              </w:rPr>
              <w:t>志愿者和工作人员累计加分分别不超过2分。若同时参加校级、院级志愿者或工作人员活动，累计加分翻倍分别不超过4分。</w:t>
            </w:r>
          </w:p>
          <w:p>
            <w:pPr>
              <w:numPr>
                <w:ilvl w:val="0"/>
                <w:numId w:val="9"/>
              </w:numPr>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国际义工项目（如HIVE、AIESEC等海外志愿者项目）不予加分。</w:t>
            </w:r>
          </w:p>
          <w:p>
            <w:pPr>
              <w:numPr>
                <w:ilvl w:val="0"/>
                <w:numId w:val="9"/>
              </w:numPr>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加分项举例：</w:t>
            </w:r>
          </w:p>
          <w:p>
            <w:pPr>
              <w:pStyle w:val="9"/>
              <w:numPr>
                <w:ilvl w:val="0"/>
                <w:numId w:val="10"/>
              </w:numPr>
              <w:tabs>
                <w:tab w:val="left" w:pos="420"/>
              </w:tabs>
              <w:ind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校级：艺考、体测、游泳比赛等活动，满天星志愿者、南国书香志愿者、琶洲旅博会志愿活动。</w:t>
            </w:r>
          </w:p>
          <w:p>
            <w:pPr>
              <w:pStyle w:val="9"/>
              <w:numPr>
                <w:ilvl w:val="0"/>
                <w:numId w:val="10"/>
              </w:numPr>
              <w:tabs>
                <w:tab w:val="left" w:pos="420"/>
              </w:tabs>
              <w:ind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院级：废品回收（0.2分/次）、社区志愿者、</w:t>
            </w:r>
            <w:r>
              <w:rPr>
                <w:rFonts w:ascii="黑体" w:hAnsi="黑体" w:eastAsia="黑体"/>
                <w:color w:val="000000" w:themeColor="text1"/>
                <w:szCs w:val="21"/>
                <w14:textFill>
                  <w14:solidFill>
                    <w14:schemeClr w14:val="tx1"/>
                  </w14:solidFill>
                </w14:textFill>
              </w:rPr>
              <w:t>DVN</w:t>
            </w:r>
            <w:r>
              <w:rPr>
                <w:rFonts w:hint="eastAsia" w:ascii="黑体" w:hAnsi="黑体" w:eastAsia="黑体"/>
                <w:color w:val="000000" w:themeColor="text1"/>
                <w:szCs w:val="21"/>
                <w14:textFill>
                  <w14:solidFill>
                    <w14:schemeClr w14:val="tx1"/>
                  </w14:solidFill>
                </w14:textFill>
              </w:rPr>
              <w:t>启动仪式招募的非团学成员表演者。</w:t>
            </w:r>
          </w:p>
          <w:p>
            <w:pPr>
              <w:widowControl/>
              <w:numPr>
                <w:ilvl w:val="0"/>
                <w:numId w:val="9"/>
              </w:numPr>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无偿献血不加分。</w:t>
            </w:r>
          </w:p>
          <w:p>
            <w:pPr>
              <w:widowControl/>
              <w:numPr>
                <w:ilvl w:val="0"/>
                <w:numId w:val="9"/>
              </w:numPr>
              <w:jc w:val="left"/>
              <w:rPr>
                <w:rFonts w:hint="eastAsia"/>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志愿者服务按次数加分，不按时数加分。</w:t>
            </w:r>
          </w:p>
        </w:tc>
      </w:tr>
    </w:tbl>
    <w:p>
      <w:pPr>
        <w:rPr>
          <w:rFonts w:hint="eastAsia" w:ascii="黑体" w:hAnsi="黑体" w:eastAsia="黑体"/>
          <w:b/>
          <w:color w:val="000000" w:themeColor="text1"/>
          <w:sz w:val="28"/>
          <w:szCs w:val="28"/>
          <w14:textFill>
            <w14:solidFill>
              <w14:schemeClr w14:val="tx1"/>
            </w14:solidFill>
          </w14:textFill>
        </w:rPr>
      </w:pPr>
    </w:p>
    <w:p>
      <w:pPr>
        <w:numPr>
          <w:ilvl w:val="1"/>
          <w:numId w:val="11"/>
        </w:numP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荣誉加分： </w:t>
      </w:r>
    </w:p>
    <w:p>
      <w:pPr>
        <w:ind w:left="420"/>
        <w:rPr>
          <w:rFonts w:hint="eastAsia" w:ascii="黑体" w:hAnsi="黑体" w:eastAsia="黑体"/>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1）个人荣誉</w:t>
      </w:r>
    </w:p>
    <w:tbl>
      <w:tblPr>
        <w:tblStyle w:val="4"/>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7" w:type="dxa"/>
            <w:vAlign w:val="center"/>
          </w:tcPr>
          <w:p>
            <w:pPr>
              <w:rPr>
                <w:rFonts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 xml:space="preserve">项目                                                      </w:t>
            </w:r>
          </w:p>
        </w:tc>
        <w:tc>
          <w:tcPr>
            <w:tcW w:w="2700" w:type="dxa"/>
            <w:vAlign w:val="center"/>
          </w:tcPr>
          <w:p>
            <w:pPr>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院级军训“先进个人”、军训优秀通讯员</w:t>
            </w:r>
          </w:p>
        </w:tc>
        <w:tc>
          <w:tcPr>
            <w:tcW w:w="2700" w:type="dxa"/>
            <w:vAlign w:val="center"/>
          </w:tcPr>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“优秀学生干部”、“优秀团干”、“优秀党员”、“共青团之星”、“优秀团员”、“优秀编辑”等综合性荣誉称号者</w:t>
            </w:r>
          </w:p>
        </w:tc>
        <w:tc>
          <w:tcPr>
            <w:tcW w:w="2700" w:type="dxa"/>
            <w:vAlign w:val="center"/>
          </w:tcPr>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国家级加10分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省级加5分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校级加2分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院系级加1分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jc w:val="center"/>
        </w:trPr>
        <w:tc>
          <w:tcPr>
            <w:tcW w:w="606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“学马列积极分子”、“优秀青年志愿者”、“调研工作积极分子”、“社会实践积极分子”、“暑假‘三下乡’活动积极分子”、“宣传工作积极分子”、“优秀记者”等单项荣誉称号者</w:t>
            </w:r>
          </w:p>
        </w:tc>
        <w:tc>
          <w:tcPr>
            <w:tcW w:w="2700" w:type="dxa"/>
            <w:vAlign w:val="center"/>
          </w:tcPr>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国家级加9分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省级加4分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校级加2分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院系级加1分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7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备注：</w:t>
            </w:r>
          </w:p>
          <w:p>
            <w:pPr>
              <w:numPr>
                <w:ilvl w:val="0"/>
                <w:numId w:val="12"/>
              </w:numPr>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同一荣誉称号加分只计最高分。</w:t>
            </w:r>
          </w:p>
          <w:p>
            <w:pPr>
              <w:numPr>
                <w:ilvl w:val="0"/>
                <w:numId w:val="12"/>
              </w:numPr>
              <w:rPr>
                <w:rFonts w:hint="eastAsia" w:ascii="宋体" w:hAnsi="宋体"/>
                <w:color w:val="000000" w:themeColor="text1"/>
                <w:sz w:val="22"/>
                <w:szCs w:val="22"/>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根据综合测评而匹配的称号不能算作荣誉称号加分（如“三好学生”、“社会活动积极分子”等）。</w:t>
            </w:r>
          </w:p>
          <w:p>
            <w:pPr>
              <w:numPr>
                <w:ilvl w:val="0"/>
                <w:numId w:val="12"/>
              </w:numPr>
              <w:rPr>
                <w:rFonts w:hint="eastAsia" w:ascii="宋体" w:hAnsi="宋体"/>
                <w:color w:val="000000" w:themeColor="text1"/>
                <w:sz w:val="22"/>
                <w:szCs w:val="22"/>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云山实体所获荣誉不加分。</w:t>
            </w:r>
          </w:p>
          <w:p>
            <w:pPr>
              <w:numPr>
                <w:ilvl w:val="0"/>
                <w:numId w:val="12"/>
              </w:numPr>
              <w:rPr>
                <w:rFonts w:hint="eastAsia"/>
                <w:color w:val="000000" w:themeColor="text1"/>
                <w:kern w:val="0"/>
                <w:sz w:val="20"/>
                <w:szCs w:val="20"/>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“早听课积极分子”加0.5分。</w:t>
            </w:r>
          </w:p>
          <w:p>
            <w:pPr>
              <w:widowControl/>
              <w:numPr>
                <w:ilvl w:val="0"/>
                <w:numId w:val="12"/>
              </w:numPr>
              <w:ind w:left="360" w:leftChars="0" w:hanging="360" w:firstLineChars="0"/>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社团“优秀干事”不加“个人荣誉”分。</w:t>
            </w:r>
          </w:p>
        </w:tc>
      </w:tr>
    </w:tbl>
    <w:p>
      <w:pPr>
        <w:spacing w:line="276" w:lineRule="auto"/>
        <w:rPr>
          <w:rFonts w:hint="eastAsia" w:ascii="黑体" w:hAnsi="黑体" w:eastAsia="黑体"/>
          <w:b/>
          <w:color w:val="000000" w:themeColor="text1"/>
          <w:szCs w:val="21"/>
          <w14:textFill>
            <w14:solidFill>
              <w14:schemeClr w14:val="tx1"/>
            </w14:solidFill>
          </w14:textFill>
        </w:rPr>
      </w:pPr>
    </w:p>
    <w:p>
      <w:pPr>
        <w:rPr>
          <w:rFonts w:hint="eastAsia" w:ascii="黑体" w:hAnsi="黑体" w:eastAsia="黑体"/>
          <w:b/>
          <w:color w:val="000000" w:themeColor="text1"/>
          <w:sz w:val="24"/>
          <w:szCs w:val="21"/>
          <w14:textFill>
            <w14:solidFill>
              <w14:schemeClr w14:val="tx1"/>
            </w14:solidFill>
          </w14:textFill>
        </w:rPr>
      </w:pPr>
    </w:p>
    <w:p>
      <w:pPr>
        <w:ind w:firstLine="117" w:firstLineChars="49"/>
        <w:rPr>
          <w:rFonts w:hint="eastAsia" w:ascii="黑体" w:hAnsi="黑体" w:eastAsia="黑体"/>
          <w:color w:val="000000" w:themeColor="text1"/>
          <w:sz w:val="24"/>
          <w:szCs w:val="21"/>
          <w14:textFill>
            <w14:solidFill>
              <w14:schemeClr w14:val="tx1"/>
            </w14:solidFill>
          </w14:textFill>
        </w:rPr>
      </w:pPr>
      <w:r>
        <w:rPr>
          <w:rFonts w:hint="eastAsia" w:ascii="黑体" w:hAnsi="黑体" w:eastAsia="黑体"/>
          <w:b/>
          <w:color w:val="000000" w:themeColor="text1"/>
          <w:sz w:val="24"/>
          <w:szCs w:val="21"/>
          <w14:textFill>
            <w14:solidFill>
              <w14:schemeClr w14:val="tx1"/>
            </w14:solidFill>
          </w14:textFill>
        </w:rPr>
        <w:t>2）集体荣誉</w:t>
      </w:r>
    </w:p>
    <w:tbl>
      <w:tblPr>
        <w:tblStyle w:val="4"/>
        <w:tblW w:w="86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7"/>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247" w:type="dxa"/>
            <w:vAlign w:val="center"/>
          </w:tcPr>
          <w:p>
            <w:pPr>
              <w:rPr>
                <w:rFonts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 xml:space="preserve">项目                                                      </w:t>
            </w:r>
          </w:p>
        </w:tc>
        <w:tc>
          <w:tcPr>
            <w:tcW w:w="2452" w:type="dxa"/>
            <w:vAlign w:val="center"/>
          </w:tcPr>
          <w:p>
            <w:pPr>
              <w:rPr>
                <w:rFonts w:hint="eastAsia" w:ascii="黑体" w:hAnsi="黑体" w:eastAsia="黑体"/>
                <w:b/>
                <w:color w:val="000000" w:themeColor="text1"/>
                <w:sz w:val="22"/>
                <w:szCs w:val="21"/>
                <w14:textFill>
                  <w14:solidFill>
                    <w14:schemeClr w14:val="tx1"/>
                  </w14:solidFill>
                </w14:textFill>
              </w:rPr>
            </w:pPr>
            <w:r>
              <w:rPr>
                <w:rFonts w:hint="eastAsia" w:ascii="黑体" w:hAnsi="黑体" w:eastAsia="黑体"/>
                <w:b/>
                <w:color w:val="000000" w:themeColor="text1"/>
                <w:sz w:val="22"/>
                <w:szCs w:val="21"/>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247"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获“先进党支部”、“先进班集体”、“先进班集体标兵”、“先进团支部”、“优秀党日活动”、“优秀团日活动”、院运会“道德风尚奖”等集体荣誉称号的成员</w:t>
            </w:r>
          </w:p>
        </w:tc>
        <w:tc>
          <w:tcPr>
            <w:tcW w:w="2452" w:type="dxa"/>
            <w:vAlign w:val="center"/>
          </w:tcPr>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国家级的每人加3分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省市级每人加1.5分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校级加1分</w:t>
            </w:r>
          </w:p>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院级加0.5分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247"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校级、院级文明宿舍</w:t>
            </w:r>
          </w:p>
        </w:tc>
        <w:tc>
          <w:tcPr>
            <w:tcW w:w="2452" w:type="dxa"/>
            <w:vAlign w:val="center"/>
          </w:tcPr>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1、0.5分（不累计加分，取最高分）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8699" w:type="dxa"/>
            <w:gridSpan w:val="2"/>
            <w:vAlign w:val="center"/>
          </w:tcPr>
          <w:p>
            <w:pPr>
              <w:pStyle w:val="9"/>
              <w:spacing w:line="276" w:lineRule="auto"/>
              <w:ind w:firstLine="0" w:firstLineChars="0"/>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备注：</w:t>
            </w:r>
          </w:p>
          <w:p>
            <w:pPr>
              <w:pStyle w:val="9"/>
              <w:numPr>
                <w:ilvl w:val="0"/>
                <w:numId w:val="13"/>
              </w:numPr>
              <w:spacing w:line="276" w:lineRule="auto"/>
              <w:ind w:firstLineChars="0"/>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学生社团、部门获得“优秀社团”或“优秀部门”称号的，个人不作加分；同一荣誉不同级别只加最高分。</w:t>
            </w:r>
          </w:p>
          <w:p>
            <w:pPr>
              <w:pStyle w:val="9"/>
              <w:numPr>
                <w:ilvl w:val="0"/>
                <w:numId w:val="13"/>
              </w:numPr>
              <w:spacing w:line="276" w:lineRule="auto"/>
              <w:ind w:firstLineChars="0"/>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团日活动获得“阳光支部”、“最受欢迎团支部”等称号均不加分。</w:t>
            </w:r>
          </w:p>
          <w:p>
            <w:pPr>
              <w:numPr>
                <w:ilvl w:val="0"/>
                <w:numId w:val="13"/>
              </w:numPr>
              <w:spacing w:line="276" w:lineRule="auto"/>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军训文明宿舍属于校级荣誉。</w:t>
            </w:r>
          </w:p>
          <w:p>
            <w:pPr>
              <w:numPr>
                <w:ilvl w:val="0"/>
                <w:numId w:val="13"/>
              </w:numPr>
              <w:spacing w:line="276" w:lineRule="auto"/>
              <w:rPr>
                <w:rFonts w:hint="eastAsia"/>
                <w:color w:val="000000" w:themeColor="text1"/>
                <w:kern w:val="0"/>
                <w:sz w:val="20"/>
                <w:szCs w:val="20"/>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“早听课先进班集体”每人加0.3分。</w:t>
            </w:r>
          </w:p>
          <w:p>
            <w:pPr>
              <w:widowControl/>
              <w:jc w:val="left"/>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5、“宿舍风采大赛”按校级荣誉每人加1分</w:t>
            </w:r>
          </w:p>
        </w:tc>
      </w:tr>
    </w:tbl>
    <w:p>
      <w:pPr>
        <w:pStyle w:val="9"/>
        <w:spacing w:line="360" w:lineRule="auto"/>
        <w:ind w:firstLine="0" w:firstLineChars="0"/>
        <w:jc w:val="left"/>
        <w:rPr>
          <w:rFonts w:hint="eastAsia" w:ascii="黑体" w:hAnsi="黑体" w:eastAsia="黑体"/>
          <w:b/>
          <w:color w:val="000000" w:themeColor="text1"/>
          <w:sz w:val="32"/>
          <w:szCs w:val="32"/>
          <w14:textFill>
            <w14:solidFill>
              <w14:schemeClr w14:val="tx1"/>
            </w14:solidFill>
          </w14:textFill>
        </w:rPr>
      </w:pPr>
    </w:p>
    <w:p>
      <w:pPr>
        <w:pStyle w:val="9"/>
        <w:numPr>
          <w:ilvl w:val="0"/>
          <w:numId w:val="14"/>
        </w:numPr>
        <w:spacing w:line="360" w:lineRule="auto"/>
        <w:ind w:firstLineChars="0"/>
        <w:jc w:val="left"/>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学业表现测评</w:t>
      </w:r>
    </w:p>
    <w:p>
      <w:pPr>
        <w:pStyle w:val="9"/>
        <w:ind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经过选拔、或不设选拔程序不必经过选拔直接参加的，院级以上有关我校所有专业学科的专业知识水平竞赛、“挑战杯”学生课外学术科技作品竞赛，以及创业计划竞赛的正式参与者（不含工作人员）。</w:t>
      </w:r>
    </w:p>
    <w:p>
      <w:pPr>
        <w:spacing w:line="360" w:lineRule="auto"/>
        <w:ind w:left="420"/>
        <w:rPr>
          <w:rFonts w:hint="eastAsia"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1）专业知识竞赛</w:t>
      </w:r>
    </w:p>
    <w:tbl>
      <w:tblPr>
        <w:tblStyle w:val="4"/>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8" w:type="dxa"/>
            <w:vAlign w:val="center"/>
          </w:tcPr>
          <w:p>
            <w:pPr>
              <w:rPr>
                <w:rFonts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 xml:space="preserve">项目                                                      </w:t>
            </w:r>
          </w:p>
        </w:tc>
        <w:tc>
          <w:tcPr>
            <w:tcW w:w="2700" w:type="dxa"/>
            <w:vAlign w:val="center"/>
          </w:tcPr>
          <w:p>
            <w:pPr>
              <w:rPr>
                <w:rFonts w:hint="eastAsia"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8" w:type="dxa"/>
            <w:vAlign w:val="center"/>
          </w:tcPr>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参赛者（国家级、省级、市级、校级、院级）</w:t>
            </w:r>
          </w:p>
        </w:tc>
        <w:tc>
          <w:tcPr>
            <w:tcW w:w="2700" w:type="dxa"/>
            <w:vAlign w:val="center"/>
          </w:tcPr>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1.5、1、0.5、0.3、0.2分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508" w:type="dxa"/>
            <w:vAlign w:val="center"/>
          </w:tcPr>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一等奖（国家级、省级、市级、校级、院级）</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10、8、6、4、1.5分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508" w:type="dxa"/>
            <w:vAlign w:val="center"/>
          </w:tcPr>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二等奖（国家级、省级、市级、校级、院级）</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9、7、5、3、1分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5508" w:type="dxa"/>
            <w:vAlign w:val="center"/>
          </w:tcPr>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三等奖（国家级、省级、市级、校级、院级）</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8、6、4、2、0.5分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508" w:type="dxa"/>
            <w:vAlign w:val="center"/>
          </w:tcPr>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DVNEWSCAR大赛最佳男女主角，最佳男女配角；模拟新闻发布会最佳播报奖，最佳主持人奖、最佳翻译等个人奖</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另外加1分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8208" w:type="dxa"/>
            <w:gridSpan w:val="2"/>
            <w:vAlign w:val="top"/>
          </w:tcPr>
          <w:p>
            <w:pPr>
              <w:spacing w:line="276" w:lineRule="auto"/>
              <w:rPr>
                <w:rFonts w:hint="eastAsia" w:ascii="黑体" w:hAnsi="黑体" w:eastAsia="黑体"/>
                <w:b/>
                <w:color w:val="000000" w:themeColor="text1"/>
                <w:szCs w:val="21"/>
                <w14:textFill>
                  <w14:solidFill>
                    <w14:schemeClr w14:val="tx1"/>
                  </w14:solidFill>
                </w14:textFill>
              </w:rPr>
            </w:pPr>
            <w:r>
              <w:rPr>
                <w:rFonts w:hint="eastAsia" w:ascii="黑体" w:hAnsi="黑体" w:eastAsia="黑体"/>
                <w:b/>
                <w:color w:val="000000" w:themeColor="text1"/>
                <w:szCs w:val="21"/>
                <w14:textFill>
                  <w14:solidFill>
                    <w14:schemeClr w14:val="tx1"/>
                  </w14:solidFill>
                </w14:textFill>
              </w:rPr>
              <w:t>备注：</w:t>
            </w:r>
          </w:p>
          <w:p>
            <w:pPr>
              <w:pStyle w:val="7"/>
              <w:numPr>
                <w:ilvl w:val="0"/>
                <w:numId w:val="0"/>
              </w:numPr>
              <w:spacing w:line="400" w:lineRule="exact"/>
              <w:ind w:left="15" w:leftChars="0"/>
              <w:rPr>
                <w:rFonts w:hint="eastAsia" w:ascii="黑体" w:hAnsi="黑体" w:eastAsia="黑体"/>
                <w:bCs w:val="0"/>
                <w:color w:val="000000" w:themeColor="text1"/>
                <w:spacing w:val="0"/>
                <w:kern w:val="2"/>
                <w:sz w:val="21"/>
                <w:szCs w:val="21"/>
                <w:highlight w:val="yellow"/>
                <w14:textFill>
                  <w14:solidFill>
                    <w14:schemeClr w14:val="tx1"/>
                  </w14:solidFill>
                </w14:textFill>
              </w:rPr>
            </w:pPr>
            <w:r>
              <w:rPr>
                <w:rFonts w:hint="eastAsia" w:ascii="黑体" w:hAnsi="黑体" w:eastAsia="黑体"/>
                <w:bCs w:val="0"/>
                <w:color w:val="000000" w:themeColor="text1"/>
                <w:spacing w:val="0"/>
                <w:kern w:val="2"/>
                <w:sz w:val="21"/>
                <w:szCs w:val="21"/>
                <w:lang w:val="en-US" w:eastAsia="zh-CN"/>
                <w14:textFill>
                  <w14:solidFill>
                    <w14:schemeClr w14:val="tx1"/>
                  </w14:solidFill>
                </w14:textFill>
              </w:rPr>
              <w:t>1、</w:t>
            </w:r>
            <w:r>
              <w:rPr>
                <w:rFonts w:hint="eastAsia" w:ascii="黑体" w:hAnsi="黑体" w:eastAsia="黑体"/>
                <w:bCs w:val="0"/>
                <w:color w:val="000000" w:themeColor="text1"/>
                <w:spacing w:val="0"/>
                <w:kern w:val="2"/>
                <w:sz w:val="21"/>
                <w:szCs w:val="21"/>
                <w14:textFill>
                  <w14:solidFill>
                    <w14:schemeClr w14:val="tx1"/>
                  </w14:solidFill>
                </w14:textFill>
              </w:rPr>
              <w:t>参加比赛并且获奖的同学可以同时加参赛分和获奖分。</w:t>
            </w:r>
          </w:p>
          <w:p>
            <w:pPr>
              <w:numPr>
                <w:ilvl w:val="0"/>
                <w:numId w:val="0"/>
              </w:numPr>
              <w:ind w:leftChars="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r>
              <w:rPr>
                <w:rFonts w:hint="eastAsia" w:ascii="黑体" w:hAnsi="黑体" w:eastAsia="黑体" w:cs="宋体"/>
                <w:color w:val="000000" w:themeColor="text1"/>
                <w:kern w:val="0"/>
                <w:szCs w:val="21"/>
                <w14:textFill>
                  <w14:solidFill>
                    <w14:schemeClr w14:val="tx1"/>
                  </w14:solidFill>
                </w14:textFill>
              </w:rPr>
              <w:t>活动列举：挑战杯、DVNEWSCAR大赛、模拟新闻发布会、广告设计大赛、主持人大赛。</w:t>
            </w:r>
          </w:p>
          <w:p>
            <w:pPr>
              <w:numPr>
                <w:ilvl w:val="0"/>
                <w:numId w:val="0"/>
              </w:numPr>
              <w:ind w:leftChars="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同一竞赛活动重复参加或重复获奖只计最高分。如活动未分获奖等级，优秀优胜奖参照同级别比赛三等奖，最佳获奖类加分标准参照同级别比赛二等奖。</w:t>
            </w:r>
          </w:p>
          <w:p>
            <w:pPr>
              <w:numPr>
                <w:ilvl w:val="0"/>
                <w:numId w:val="0"/>
              </w:numPr>
              <w:ind w:leftChars="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szCs w:val="21"/>
                <w:lang w:val="en-US" w:eastAsia="zh-CN"/>
                <w14:textFill>
                  <w14:solidFill>
                    <w14:schemeClr w14:val="tx1"/>
                  </w14:solidFill>
                </w14:textFill>
              </w:rPr>
              <w:t>4、</w:t>
            </w:r>
            <w:r>
              <w:rPr>
                <w:rFonts w:hint="eastAsia" w:ascii="黑体" w:hAnsi="黑体" w:eastAsia="黑体" w:cs="宋体"/>
                <w:color w:val="000000" w:themeColor="text1"/>
                <w:szCs w:val="21"/>
                <w14:textFill>
                  <w14:solidFill>
                    <w14:schemeClr w14:val="tx1"/>
                  </w14:solidFill>
                </w14:textFill>
              </w:rPr>
              <w:t>各类比赛应提前向学院备案并得到认可方可加分。</w:t>
            </w:r>
          </w:p>
          <w:p>
            <w:pPr>
              <w:numPr>
                <w:ilvl w:val="0"/>
                <w:numId w:val="0"/>
              </w:numPr>
              <w:ind w:leftChars="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5、</w:t>
            </w:r>
            <w:r>
              <w:rPr>
                <w:rFonts w:hint="eastAsia" w:ascii="黑体" w:hAnsi="黑体" w:eastAsia="黑体" w:cs="宋体"/>
                <w:color w:val="000000" w:themeColor="text1"/>
                <w:kern w:val="0"/>
                <w:szCs w:val="21"/>
                <w14:textFill>
                  <w14:solidFill>
                    <w14:schemeClr w14:val="tx1"/>
                  </w14:solidFill>
                </w14:textFill>
              </w:rPr>
              <w:t>“中国大学生广告艺术节学院奖”、“公关策划大赛”定为省级。</w:t>
            </w:r>
          </w:p>
          <w:p>
            <w:pPr>
              <w:numPr>
                <w:ilvl w:val="0"/>
                <w:numId w:val="0"/>
              </w:numPr>
              <w:ind w:leftChars="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6、</w:t>
            </w:r>
            <w:r>
              <w:rPr>
                <w:rFonts w:hint="eastAsia" w:ascii="黑体" w:hAnsi="黑体" w:eastAsia="黑体" w:cs="宋体"/>
                <w:color w:val="000000" w:themeColor="text1"/>
                <w:kern w:val="0"/>
                <w:szCs w:val="21"/>
                <w14:textFill>
                  <w14:solidFill>
                    <w14:schemeClr w14:val="tx1"/>
                  </w14:solidFill>
                </w14:textFill>
              </w:rPr>
              <w:t>获DVNEWSCAR奖项（包括最佳广告片，最佳剪辑，最佳摄影等）的主创团队成员均加1分。</w:t>
            </w:r>
          </w:p>
          <w:p>
            <w:pPr>
              <w:numPr>
                <w:ilvl w:val="0"/>
                <w:numId w:val="0"/>
              </w:numPr>
              <w:ind w:leftChars="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7、</w:t>
            </w:r>
            <w:r>
              <w:rPr>
                <w:rFonts w:hint="eastAsia" w:ascii="黑体" w:hAnsi="黑体" w:eastAsia="黑体" w:cs="宋体"/>
                <w:color w:val="000000" w:themeColor="text1"/>
                <w:kern w:val="0"/>
                <w:szCs w:val="21"/>
                <w14:textFill>
                  <w14:solidFill>
                    <w14:schemeClr w14:val="tx1"/>
                  </w14:solidFill>
                </w14:textFill>
              </w:rPr>
              <w:t>活动工作人员不在此加分范围内。</w:t>
            </w:r>
          </w:p>
        </w:tc>
      </w:tr>
    </w:tbl>
    <w:p>
      <w:pPr>
        <w:spacing w:line="276" w:lineRule="auto"/>
        <w:rPr>
          <w:rFonts w:hint="eastAsia" w:ascii="黑体" w:hAnsi="黑体" w:eastAsia="黑体"/>
          <w:color w:val="000000" w:themeColor="text1"/>
          <w:szCs w:val="21"/>
          <w14:textFill>
            <w14:solidFill>
              <w14:schemeClr w14:val="tx1"/>
            </w14:solidFill>
          </w14:textFill>
        </w:rPr>
      </w:pPr>
    </w:p>
    <w:p>
      <w:pPr>
        <w:spacing w:line="276" w:lineRule="auto"/>
        <w:ind w:left="420"/>
        <w:rPr>
          <w:rFonts w:hint="eastAsia"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2）发表学术性文章</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5" w:type="dxa"/>
            <w:vAlign w:val="center"/>
          </w:tcPr>
          <w:p>
            <w:pPr>
              <w:rPr>
                <w:rFonts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 xml:space="preserve">项目                                                      </w:t>
            </w:r>
          </w:p>
        </w:tc>
        <w:tc>
          <w:tcPr>
            <w:tcW w:w="2177" w:type="dxa"/>
            <w:vAlign w:val="center"/>
          </w:tcPr>
          <w:p>
            <w:pPr>
              <w:rPr>
                <w:rFonts w:hint="eastAsia"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45" w:type="dxa"/>
            <w:vAlign w:val="top"/>
          </w:tcPr>
          <w:p>
            <w:pPr>
              <w:autoSpaceDE w:val="0"/>
              <w:autoSpaceDN w:val="0"/>
              <w:adjustRightInd w:val="0"/>
              <w:jc w:val="left"/>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在公开出版发行的刊物（有</w:t>
            </w:r>
            <w:r>
              <w:rPr>
                <w:rFonts w:ascii="黑体" w:hAnsi="黑体" w:eastAsia="黑体" w:cs="宋?"/>
                <w:color w:val="000000" w:themeColor="text1"/>
                <w:kern w:val="0"/>
                <w:szCs w:val="21"/>
                <w14:textFill>
                  <w14:solidFill>
                    <w14:schemeClr w14:val="tx1"/>
                  </w14:solidFill>
                </w14:textFill>
              </w:rPr>
              <w:t>CN</w:t>
            </w:r>
            <w:r>
              <w:rPr>
                <w:rFonts w:hint="eastAsia" w:ascii="黑体" w:hAnsi="黑体" w:eastAsia="黑体" w:cs="宋?"/>
                <w:color w:val="000000" w:themeColor="text1"/>
                <w:kern w:val="0"/>
                <w:szCs w:val="21"/>
                <w14:textFill>
                  <w14:solidFill>
                    <w14:schemeClr w14:val="tx1"/>
                  </w14:solidFill>
                </w14:textFill>
              </w:rPr>
              <w:t>或</w:t>
            </w:r>
            <w:r>
              <w:rPr>
                <w:rFonts w:ascii="黑体" w:hAnsi="黑体" w:eastAsia="黑体" w:cs="宋?"/>
                <w:color w:val="000000" w:themeColor="text1"/>
                <w:kern w:val="0"/>
                <w:szCs w:val="21"/>
                <w14:textFill>
                  <w14:solidFill>
                    <w14:schemeClr w14:val="tx1"/>
                  </w14:solidFill>
                </w14:textFill>
              </w:rPr>
              <w:t>ISSN</w:t>
            </w:r>
            <w:r>
              <w:rPr>
                <w:rFonts w:hint="eastAsia" w:ascii="黑体" w:hAnsi="黑体" w:eastAsia="黑体" w:cs="宋?"/>
                <w:color w:val="000000" w:themeColor="text1"/>
                <w:kern w:val="0"/>
                <w:szCs w:val="21"/>
                <w14:textFill>
                  <w14:solidFill>
                    <w14:schemeClr w14:val="tx1"/>
                  </w14:solidFill>
                </w14:textFill>
              </w:rPr>
              <w:t>登记号）上发表专业学术论文（市级、省级、国家级）</w:t>
            </w:r>
          </w:p>
        </w:tc>
        <w:tc>
          <w:tcPr>
            <w:tcW w:w="2177"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2</w:t>
            </w:r>
            <w:r>
              <w:rPr>
                <w:rFonts w:hint="eastAsia" w:ascii="黑体" w:hAnsi="黑体" w:eastAsia="黑体"/>
                <w:color w:val="000000" w:themeColor="text1"/>
                <w:szCs w:val="22"/>
                <w14:textFill>
                  <w14:solidFill>
                    <w14:schemeClr w14:val="tx1"/>
                  </w14:solidFill>
                </w14:textFill>
              </w:rPr>
              <w:t>、4、6分</w:t>
            </w:r>
            <w:r>
              <w:rPr>
                <w:rFonts w:hint="eastAsia" w:ascii="黑体" w:hAnsi="黑体" w:eastAsia="黑体" w:cs="宋?"/>
                <w:color w:val="000000" w:themeColor="text1"/>
                <w:kern w:val="0"/>
                <w:szCs w:val="21"/>
                <w14:textFill>
                  <w14:solidFill>
                    <w14:schemeClr w14:val="tx1"/>
                  </w14:solidFill>
                </w14:textFill>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345" w:type="dxa"/>
            <w:vAlign w:val="top"/>
          </w:tcPr>
          <w:p>
            <w:pPr>
              <w:autoSpaceDE w:val="0"/>
              <w:autoSpaceDN w:val="0"/>
              <w:adjustRightInd w:val="0"/>
              <w:jc w:val="left"/>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专科学校学报、本科学校学报</w:t>
            </w:r>
          </w:p>
        </w:tc>
        <w:tc>
          <w:tcPr>
            <w:tcW w:w="2177"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2</w:t>
            </w:r>
            <w:r>
              <w:rPr>
                <w:rFonts w:hint="eastAsia" w:ascii="黑体" w:hAnsi="黑体" w:eastAsia="黑体"/>
                <w:color w:val="000000" w:themeColor="text1"/>
                <w:szCs w:val="22"/>
                <w14:textFill>
                  <w14:solidFill>
                    <w14:schemeClr w14:val="tx1"/>
                  </w14:solidFill>
                </w14:textFill>
              </w:rPr>
              <w:t>、</w:t>
            </w:r>
            <w:r>
              <w:rPr>
                <w:rFonts w:ascii="黑体" w:hAnsi="黑体" w:eastAsia="黑体"/>
                <w:color w:val="000000" w:themeColor="text1"/>
                <w:szCs w:val="22"/>
                <w14:textFill>
                  <w14:solidFill>
                    <w14:schemeClr w14:val="tx1"/>
                  </w14:solidFill>
                </w14:textFill>
              </w:rPr>
              <w:t>4</w:t>
            </w:r>
            <w:r>
              <w:rPr>
                <w:rFonts w:hint="eastAsia" w:ascii="黑体" w:hAnsi="黑体" w:eastAsia="黑体"/>
                <w:color w:val="000000" w:themeColor="text1"/>
                <w:szCs w:val="22"/>
                <w14:textFill>
                  <w14:solidFill>
                    <w14:schemeClr w14:val="tx1"/>
                  </w14:solidFill>
                </w14:textFill>
              </w:rPr>
              <w:t>分</w:t>
            </w:r>
            <w:r>
              <w:rPr>
                <w:rFonts w:hint="eastAsia" w:ascii="黑体" w:hAnsi="黑体" w:eastAsia="黑体" w:cs="宋?"/>
                <w:color w:val="000000" w:themeColor="text1"/>
                <w:kern w:val="0"/>
                <w:szCs w:val="21"/>
                <w14:textFill>
                  <w14:solidFill>
                    <w14:schemeClr w14:val="tx1"/>
                  </w14:solidFill>
                </w14:textFill>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45" w:type="dxa"/>
            <w:vAlign w:val="top"/>
          </w:tcPr>
          <w:p>
            <w:pPr>
              <w:autoSpaceDE w:val="0"/>
              <w:autoSpaceDN w:val="0"/>
              <w:adjustRightInd w:val="0"/>
              <w:jc w:val="left"/>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在市级、省级、国家级公开发行的报刊上发表与专业相关的学术性译文者（</w:t>
            </w:r>
            <w:r>
              <w:rPr>
                <w:rFonts w:hint="eastAsia" w:ascii="黑体" w:hAnsi="黑体" w:eastAsia="黑体"/>
                <w:color w:val="000000" w:themeColor="text1"/>
                <w:szCs w:val="22"/>
                <w14:textFill>
                  <w14:solidFill>
                    <w14:schemeClr w14:val="tx1"/>
                  </w14:solidFill>
                </w14:textFill>
              </w:rPr>
              <w:t>译文最多加4分）</w:t>
            </w:r>
          </w:p>
        </w:tc>
        <w:tc>
          <w:tcPr>
            <w:tcW w:w="2177" w:type="dxa"/>
            <w:vAlign w:val="top"/>
          </w:tcPr>
          <w:p>
            <w:pPr>
              <w:tabs>
                <w:tab w:val="left" w:pos="1650"/>
              </w:tabs>
              <w:autoSpaceDE w:val="0"/>
              <w:autoSpaceDN w:val="0"/>
              <w:adjustRightInd w:val="0"/>
              <w:jc w:val="left"/>
              <w:rPr>
                <w:rFonts w:ascii="黑体" w:hAnsi="黑体" w:eastAsia="黑体"/>
                <w:color w:val="000000" w:themeColor="text1"/>
                <w:szCs w:val="22"/>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0.5、1、2</w:t>
            </w:r>
            <w:r>
              <w:rPr>
                <w:rFonts w:hint="eastAsia" w:ascii="黑体" w:hAnsi="黑体" w:eastAsia="黑体" w:cs="宋?"/>
                <w:color w:val="000000" w:themeColor="text1"/>
                <w:kern w:val="0"/>
                <w:szCs w:val="21"/>
                <w14:textFill>
                  <w14:solidFill>
                    <w14:schemeClr w14:val="tx1"/>
                  </w14:solidFill>
                </w14:textFill>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345" w:type="dxa"/>
            <w:vAlign w:val="top"/>
          </w:tcPr>
          <w:p>
            <w:pPr>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专业学术论文被市级、省级、全国性和国际性学术会议采用者</w:t>
            </w:r>
          </w:p>
        </w:tc>
        <w:tc>
          <w:tcPr>
            <w:tcW w:w="2177"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1、2、3、4分</w:t>
            </w:r>
            <w:r>
              <w:rPr>
                <w:rFonts w:hint="eastAsia" w:ascii="黑体" w:hAnsi="黑体" w:eastAsia="黑体" w:cs="宋?"/>
                <w:color w:val="000000" w:themeColor="text1"/>
                <w:kern w:val="0"/>
                <w:szCs w:val="21"/>
                <w14:textFill>
                  <w14:solidFill>
                    <w14:schemeClr w14:val="tx1"/>
                  </w14:solidFill>
                </w14:textFill>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345" w:type="dxa"/>
            <w:vAlign w:val="top"/>
          </w:tcPr>
          <w:p>
            <w:pPr>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在专业学术网站发表专业学术论文</w:t>
            </w:r>
            <w:r>
              <w:rPr>
                <w:rFonts w:hint="eastAsia" w:ascii="黑体" w:hAnsi="黑体" w:eastAsia="黑体"/>
                <w:color w:val="000000" w:themeColor="text1"/>
                <w:szCs w:val="22"/>
                <w14:textFill>
                  <w14:solidFill>
                    <w14:schemeClr w14:val="tx1"/>
                  </w14:solidFill>
                </w14:textFill>
              </w:rPr>
              <w:t>（按市级</w:t>
            </w:r>
            <w:r>
              <w:rPr>
                <w:rFonts w:ascii="黑体" w:hAnsi="黑体" w:eastAsia="黑体"/>
                <w:color w:val="000000" w:themeColor="text1"/>
                <w:szCs w:val="22"/>
                <w14:textFill>
                  <w14:solidFill>
                    <w14:schemeClr w14:val="tx1"/>
                  </w14:solidFill>
                </w14:textFill>
              </w:rPr>
              <w:t>）</w:t>
            </w:r>
            <w:r>
              <w:rPr>
                <w:rFonts w:hint="eastAsia" w:ascii="黑体" w:hAnsi="黑体" w:eastAsia="黑体"/>
                <w:color w:val="000000" w:themeColor="text1"/>
                <w:szCs w:val="22"/>
                <w14:textFill>
                  <w14:solidFill>
                    <w14:schemeClr w14:val="tx1"/>
                  </w14:solidFill>
                </w14:textFill>
              </w:rPr>
              <w:t>（此项论文最多可加</w:t>
            </w:r>
            <w:r>
              <w:rPr>
                <w:rFonts w:ascii="黑体" w:hAnsi="黑体" w:eastAsia="黑体"/>
                <w:color w:val="000000" w:themeColor="text1"/>
                <w:szCs w:val="22"/>
                <w14:textFill>
                  <w14:solidFill>
                    <w14:schemeClr w14:val="tx1"/>
                  </w14:solidFill>
                </w14:textFill>
              </w:rPr>
              <w:t>4</w:t>
            </w:r>
            <w:r>
              <w:rPr>
                <w:rFonts w:hint="eastAsia" w:ascii="黑体" w:hAnsi="黑体" w:eastAsia="黑体"/>
                <w:color w:val="000000" w:themeColor="text1"/>
                <w:szCs w:val="22"/>
                <w14:textFill>
                  <w14:solidFill>
                    <w14:schemeClr w14:val="tx1"/>
                  </w14:solidFill>
                </w14:textFill>
              </w:rPr>
              <w:t>分，译文最多可加</w:t>
            </w:r>
            <w:r>
              <w:rPr>
                <w:rFonts w:ascii="黑体" w:hAnsi="黑体" w:eastAsia="黑体"/>
                <w:color w:val="000000" w:themeColor="text1"/>
                <w:szCs w:val="22"/>
                <w14:textFill>
                  <w14:solidFill>
                    <w14:schemeClr w14:val="tx1"/>
                  </w14:solidFill>
                </w14:textFill>
              </w:rPr>
              <w:t>2</w:t>
            </w:r>
            <w:r>
              <w:rPr>
                <w:rFonts w:hint="eastAsia" w:ascii="黑体" w:hAnsi="黑体" w:eastAsia="黑体"/>
                <w:color w:val="000000" w:themeColor="text1"/>
                <w:szCs w:val="22"/>
                <w14:textFill>
                  <w14:solidFill>
                    <w14:schemeClr w14:val="tx1"/>
                  </w14:solidFill>
                </w14:textFill>
              </w:rPr>
              <w:t>分）</w:t>
            </w:r>
          </w:p>
        </w:tc>
        <w:tc>
          <w:tcPr>
            <w:tcW w:w="2177"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2</w:t>
            </w:r>
            <w:r>
              <w:rPr>
                <w:rFonts w:hint="eastAsia" w:ascii="黑体" w:hAnsi="黑体" w:eastAsia="黑体"/>
                <w:color w:val="000000" w:themeColor="text1"/>
                <w:szCs w:val="22"/>
                <w14:textFill>
                  <w14:solidFill>
                    <w14:schemeClr w14:val="tx1"/>
                  </w14:solidFill>
                </w14:textFill>
              </w:rPr>
              <w:t>分</w:t>
            </w:r>
            <w:r>
              <w:rPr>
                <w:rFonts w:hint="eastAsia" w:ascii="黑体" w:hAnsi="黑体" w:eastAsia="黑体" w:cs="宋?"/>
                <w:color w:val="000000" w:themeColor="text1"/>
                <w:kern w:val="0"/>
                <w:szCs w:val="21"/>
                <w14:textFill>
                  <w14:solidFill>
                    <w14:schemeClr w14:val="tx1"/>
                  </w14:solidFill>
                </w14:textFill>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6345" w:type="dxa"/>
            <w:vAlign w:val="top"/>
          </w:tcPr>
          <w:p>
            <w:pPr>
              <w:rPr>
                <w:rFonts w:ascii="黑体" w:hAnsi="黑体" w:eastAsia="黑体" w:cs="宋?"/>
                <w:color w:val="000000" w:themeColor="text1"/>
                <w:kern w:val="0"/>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专业学术性译文</w:t>
            </w:r>
            <w:r>
              <w:rPr>
                <w:rFonts w:hint="eastAsia" w:ascii="黑体" w:hAnsi="黑体" w:eastAsia="黑体"/>
                <w:color w:val="000000" w:themeColor="text1"/>
                <w:szCs w:val="22"/>
                <w14:textFill>
                  <w14:solidFill>
                    <w14:schemeClr w14:val="tx1"/>
                  </w14:solidFill>
                </w14:textFill>
              </w:rPr>
              <w:t>（按市级</w:t>
            </w:r>
            <w:r>
              <w:rPr>
                <w:rFonts w:ascii="黑体" w:hAnsi="黑体" w:eastAsia="黑体"/>
                <w:color w:val="000000" w:themeColor="text1"/>
                <w:szCs w:val="22"/>
                <w14:textFill>
                  <w14:solidFill>
                    <w14:schemeClr w14:val="tx1"/>
                  </w14:solidFill>
                </w14:textFill>
              </w:rPr>
              <w:t>）</w:t>
            </w:r>
          </w:p>
        </w:tc>
        <w:tc>
          <w:tcPr>
            <w:tcW w:w="2177" w:type="dxa"/>
            <w:vAlign w:val="top"/>
          </w:tcPr>
          <w:p>
            <w:pPr>
              <w:rPr>
                <w:rFonts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0.5</w:t>
            </w:r>
            <w:r>
              <w:rPr>
                <w:rFonts w:hint="eastAsia" w:ascii="黑体" w:hAnsi="黑体" w:eastAsia="黑体"/>
                <w:color w:val="000000" w:themeColor="text1"/>
                <w:szCs w:val="22"/>
                <w14:textFill>
                  <w14:solidFill>
                    <w14:schemeClr w14:val="tx1"/>
                  </w14:solidFill>
                </w14:textFill>
              </w:rPr>
              <w:t>分</w:t>
            </w:r>
            <w:r>
              <w:rPr>
                <w:rFonts w:hint="eastAsia" w:ascii="黑体" w:hAnsi="黑体" w:eastAsia="黑体" w:cs="宋?"/>
                <w:color w:val="000000" w:themeColor="text1"/>
                <w:kern w:val="0"/>
                <w:szCs w:val="21"/>
                <w14:textFill>
                  <w14:solidFill>
                    <w14:schemeClr w14:val="tx1"/>
                  </w14:solidFill>
                </w14:textFill>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6345"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专业学术论文和译文被收入没有公开出版的学术文集</w:t>
            </w:r>
          </w:p>
        </w:tc>
        <w:tc>
          <w:tcPr>
            <w:tcW w:w="2177" w:type="dxa"/>
            <w:vAlign w:val="top"/>
          </w:tcPr>
          <w:p>
            <w:pPr>
              <w:tabs>
                <w:tab w:val="left" w:pos="1650"/>
              </w:tabs>
              <w:autoSpaceDE w:val="0"/>
              <w:autoSpaceDN w:val="0"/>
              <w:adjustRightInd w:val="0"/>
              <w:jc w:val="left"/>
              <w:rPr>
                <w:rFonts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1</w:t>
            </w:r>
            <w:r>
              <w:rPr>
                <w:rFonts w:hint="eastAsia" w:ascii="黑体" w:hAnsi="黑体" w:eastAsia="黑体"/>
                <w:color w:val="000000" w:themeColor="text1"/>
                <w:szCs w:val="22"/>
                <w14:textFill>
                  <w14:solidFill>
                    <w14:schemeClr w14:val="tx1"/>
                  </w14:solidFill>
                </w14:textFill>
              </w:rPr>
              <w:t>、</w:t>
            </w:r>
            <w:r>
              <w:rPr>
                <w:rFonts w:ascii="黑体" w:hAnsi="黑体" w:eastAsia="黑体"/>
                <w:color w:val="000000" w:themeColor="text1"/>
                <w:szCs w:val="22"/>
                <w14:textFill>
                  <w14:solidFill>
                    <w14:schemeClr w14:val="tx1"/>
                  </w14:solidFill>
                </w14:textFill>
              </w:rPr>
              <w:t>0.3</w:t>
            </w:r>
            <w:r>
              <w:rPr>
                <w:rFonts w:hint="eastAsia" w:ascii="黑体" w:hAnsi="黑体" w:eastAsia="黑体"/>
                <w:color w:val="000000" w:themeColor="text1"/>
                <w:szCs w:val="22"/>
                <w14:textFill>
                  <w14:solidFill>
                    <w14:schemeClr w14:val="tx1"/>
                  </w14:solidFill>
                </w14:textFill>
              </w:rPr>
              <w:t>分</w:t>
            </w:r>
            <w:r>
              <w:rPr>
                <w:rFonts w:hint="eastAsia" w:ascii="黑体" w:hAnsi="黑体" w:eastAsia="黑体" w:cs="宋?"/>
                <w:color w:val="000000" w:themeColor="text1"/>
                <w:kern w:val="0"/>
                <w:szCs w:val="21"/>
                <w14:textFill>
                  <w14:solidFill>
                    <w14:schemeClr w14:val="tx1"/>
                  </w14:solidFill>
                </w14:textFill>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45"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作为科研课题组正式成员，参加科研活动并且有科研成果（科研成果指的是学院有留档有表彰的，未结题者算入下一年度测评）</w:t>
            </w:r>
          </w:p>
        </w:tc>
        <w:tc>
          <w:tcPr>
            <w:tcW w:w="2177"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校级</w:t>
            </w:r>
            <w:r>
              <w:rPr>
                <w:rFonts w:hint="eastAsia" w:ascii="黑体" w:hAnsi="黑体" w:eastAsia="黑体"/>
                <w:color w:val="000000" w:themeColor="text1"/>
                <w:szCs w:val="22"/>
                <w:lang w:val="en-US" w:eastAsia="zh-CN"/>
                <w14:textFill>
                  <w14:solidFill>
                    <w14:schemeClr w14:val="tx1"/>
                  </w14:solidFill>
                </w14:textFill>
              </w:rPr>
              <w:t>5</w:t>
            </w:r>
            <w:r>
              <w:rPr>
                <w:rFonts w:hint="eastAsia" w:ascii="黑体" w:hAnsi="黑体" w:eastAsia="黑体"/>
                <w:color w:val="000000" w:themeColor="text1"/>
                <w:szCs w:val="22"/>
                <w14:textFill>
                  <w14:solidFill>
                    <w14:schemeClr w14:val="tx1"/>
                  </w14:solidFill>
                </w14:textFill>
              </w:rPr>
              <w:t>分</w:t>
            </w:r>
          </w:p>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市、省级</w:t>
            </w:r>
            <w:r>
              <w:rPr>
                <w:rFonts w:ascii="黑体" w:hAnsi="黑体" w:eastAsia="黑体"/>
                <w:color w:val="000000" w:themeColor="text1"/>
                <w:szCs w:val="22"/>
                <w14:textFill>
                  <w14:solidFill>
                    <w14:schemeClr w14:val="tx1"/>
                  </w14:solidFill>
                </w14:textFill>
              </w:rPr>
              <w:t>8</w:t>
            </w:r>
            <w:r>
              <w:rPr>
                <w:rFonts w:hint="eastAsia" w:ascii="黑体" w:hAnsi="黑体" w:eastAsia="黑体"/>
                <w:color w:val="000000" w:themeColor="text1"/>
                <w:szCs w:val="22"/>
                <w14:textFill>
                  <w14:solidFill>
                    <w14:schemeClr w14:val="tx1"/>
                  </w14:solidFill>
                </w14:textFill>
              </w:rPr>
              <w:t>分</w:t>
            </w:r>
          </w:p>
          <w:p>
            <w:pPr>
              <w:tabs>
                <w:tab w:val="left" w:pos="1650"/>
              </w:tabs>
              <w:autoSpaceDE w:val="0"/>
              <w:autoSpaceDN w:val="0"/>
              <w:adjustRightInd w:val="0"/>
              <w:jc w:val="left"/>
              <w:rPr>
                <w:rFonts w:ascii="黑体" w:hAnsi="黑体" w:eastAsia="黑体"/>
                <w:color w:val="000000" w:themeColor="text1"/>
                <w:szCs w:val="22"/>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国家级</w:t>
            </w:r>
            <w:r>
              <w:rPr>
                <w:rFonts w:ascii="黑体" w:hAnsi="黑体" w:eastAsia="黑体"/>
                <w:color w:val="000000" w:themeColor="text1"/>
                <w:szCs w:val="22"/>
                <w14:textFill>
                  <w14:solidFill>
                    <w14:schemeClr w14:val="tx1"/>
                  </w14:solidFill>
                </w14:textFill>
              </w:rPr>
              <w:t>10</w:t>
            </w:r>
            <w:r>
              <w:rPr>
                <w:rFonts w:hint="eastAsia" w:ascii="黑体" w:hAnsi="黑体" w:eastAsia="黑体"/>
                <w:color w:val="000000" w:themeColor="text1"/>
                <w:szCs w:val="22"/>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22" w:type="dxa"/>
            <w:gridSpan w:val="2"/>
            <w:vAlign w:val="top"/>
          </w:tcPr>
          <w:p>
            <w:pPr>
              <w:rPr>
                <w:rFonts w:hint="eastAsia"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备</w:t>
            </w:r>
            <w:r>
              <w:rPr>
                <w:rFonts w:hint="eastAsia" w:ascii="黑体" w:hAnsi="黑体" w:eastAsia="黑体" w:cs="宋体"/>
                <w:color w:val="000000" w:themeColor="text1"/>
                <w:szCs w:val="21"/>
                <w14:textFill>
                  <w14:solidFill>
                    <w14:schemeClr w14:val="tx1"/>
                  </w14:solidFill>
                </w14:textFill>
              </w:rPr>
              <w:t>注：</w:t>
            </w:r>
          </w:p>
          <w:p>
            <w:pPr>
              <w:rPr>
                <w:rFonts w:hint="eastAsia"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1、同一篇论文被多家刊物转载或多次学术会议采用，在按最高等级刊物的标准计分一次的基础上，可适当加</w:t>
            </w:r>
            <w:r>
              <w:rPr>
                <w:rFonts w:ascii="黑体" w:hAnsi="黑体" w:eastAsia="黑体" w:cs="宋体"/>
                <w:color w:val="000000" w:themeColor="text1"/>
                <w:szCs w:val="21"/>
                <w14:textFill>
                  <w14:solidFill>
                    <w14:schemeClr w14:val="tx1"/>
                  </w14:solidFill>
                </w14:textFill>
              </w:rPr>
              <w:t>1</w:t>
            </w:r>
            <w:r>
              <w:rPr>
                <w:rFonts w:hint="eastAsia" w:ascii="黑体" w:hAnsi="黑体" w:eastAsia="黑体" w:cs="宋体"/>
                <w:color w:val="000000" w:themeColor="text1"/>
                <w:szCs w:val="21"/>
                <w14:textFill>
                  <w14:solidFill>
                    <w14:schemeClr w14:val="tx1"/>
                  </w14:solidFill>
                </w14:textFill>
              </w:rPr>
              <w:t>—</w:t>
            </w:r>
            <w:r>
              <w:rPr>
                <w:rFonts w:ascii="黑体" w:hAnsi="黑体" w:eastAsia="黑体" w:cs="宋体"/>
                <w:color w:val="000000" w:themeColor="text1"/>
                <w:szCs w:val="21"/>
                <w14:textFill>
                  <w14:solidFill>
                    <w14:schemeClr w14:val="tx1"/>
                  </w14:solidFill>
                </w14:textFill>
              </w:rPr>
              <w:t>2</w:t>
            </w:r>
            <w:r>
              <w:rPr>
                <w:rFonts w:hint="eastAsia" w:ascii="黑体" w:hAnsi="黑体" w:eastAsia="黑体" w:cs="宋体"/>
                <w:color w:val="000000" w:themeColor="text1"/>
                <w:szCs w:val="21"/>
                <w14:textFill>
                  <w14:solidFill>
                    <w14:schemeClr w14:val="tx1"/>
                  </w14:solidFill>
                </w14:textFill>
              </w:rPr>
              <w:t>分。同一论文为多人合作者，按第一作者得分高于其他作者的原则进行分配。</w:t>
            </w:r>
          </w:p>
          <w:p>
            <w:pPr>
              <w:rPr>
                <w:rFonts w:hint="eastAsia"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2、凡需要加分的学术论文和译文，必须提供署名“广东外语外贸大学”的登载刊物原件或学术会议信函，并经有关专家鉴定文章的性质和级别。</w:t>
            </w:r>
          </w:p>
          <w:p>
            <w:pPr>
              <w:rPr>
                <w:rFonts w:hint="eastAsia"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3、同一课题多级立项，只算最高分。</w:t>
            </w:r>
          </w:p>
          <w:p>
            <w:pPr>
              <w:rPr>
                <w:rFonts w:ascii="黑体" w:hAnsi="黑体" w:eastAsia="黑体" w:cs="宋体"/>
                <w:b/>
                <w:bCs/>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4、各类刊物的加分资格由学院素质测评小组认定。</w:t>
            </w:r>
          </w:p>
        </w:tc>
      </w:tr>
    </w:tbl>
    <w:p>
      <w:pPr>
        <w:spacing w:line="276" w:lineRule="auto"/>
        <w:rPr>
          <w:rFonts w:hint="eastAsia" w:ascii="黑体" w:hAnsi="黑体" w:eastAsia="黑体"/>
          <w:b/>
          <w:color w:val="000000" w:themeColor="text1"/>
          <w:sz w:val="30"/>
          <w:szCs w:val="30"/>
          <w14:textFill>
            <w14:solidFill>
              <w14:schemeClr w14:val="tx1"/>
            </w14:solidFill>
          </w14:textFill>
        </w:rPr>
      </w:pPr>
    </w:p>
    <w:p>
      <w:pPr>
        <w:spacing w:line="276" w:lineRule="auto"/>
        <w:ind w:left="420"/>
        <w:rPr>
          <w:rFonts w:hint="eastAsia"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3）发表非学术性文章</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82" w:type="dxa"/>
            <w:vAlign w:val="center"/>
          </w:tcPr>
          <w:p>
            <w:pPr>
              <w:rPr>
                <w:rFonts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 xml:space="preserve">项目                                                      </w:t>
            </w:r>
          </w:p>
        </w:tc>
        <w:tc>
          <w:tcPr>
            <w:tcW w:w="1740" w:type="dxa"/>
            <w:vAlign w:val="center"/>
          </w:tcPr>
          <w:p>
            <w:pPr>
              <w:rPr>
                <w:rFonts w:hint="eastAsia"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782" w:type="dxa"/>
            <w:vAlign w:val="top"/>
          </w:tcPr>
          <w:p>
            <w:pPr>
              <w:pStyle w:val="7"/>
              <w:spacing w:line="400" w:lineRule="exact"/>
              <w:ind w:firstLine="0"/>
              <w:jc w:val="left"/>
              <w:rPr>
                <w:rFonts w:hint="eastAsia" w:ascii="黑体" w:hAnsi="黑体" w:eastAsia="黑体"/>
                <w:b w:val="0"/>
                <w:bCs w:val="0"/>
                <w:color w:val="000000" w:themeColor="text1"/>
                <w:spacing w:val="0"/>
                <w:kern w:val="2"/>
                <w:sz w:val="21"/>
                <w:szCs w:val="22"/>
                <w14:textFill>
                  <w14:solidFill>
                    <w14:schemeClr w14:val="tx1"/>
                  </w14:solidFill>
                </w14:textFill>
              </w:rPr>
            </w:pPr>
            <w:r>
              <w:rPr>
                <w:rFonts w:hint="eastAsia" w:ascii="黑体" w:hAnsi="黑体" w:eastAsia="黑体"/>
                <w:b w:val="0"/>
                <w:bCs w:val="0"/>
                <w:color w:val="000000" w:themeColor="text1"/>
                <w:spacing w:val="0"/>
                <w:kern w:val="2"/>
                <w:sz w:val="21"/>
                <w:szCs w:val="22"/>
                <w14:textFill>
                  <w14:solidFill>
                    <w14:schemeClr w14:val="tx1"/>
                  </w14:solidFill>
                </w14:textFill>
              </w:rPr>
              <w:t>省市级有正式刊号的报刊（作为消息报导类的投稿最多可加至</w:t>
            </w:r>
            <w:r>
              <w:rPr>
                <w:rFonts w:ascii="黑体" w:hAnsi="黑体" w:eastAsia="黑体"/>
                <w:b w:val="0"/>
                <w:bCs w:val="0"/>
                <w:color w:val="000000" w:themeColor="text1"/>
                <w:spacing w:val="0"/>
                <w:kern w:val="2"/>
                <w:sz w:val="21"/>
                <w:szCs w:val="22"/>
                <w14:textFill>
                  <w14:solidFill>
                    <w14:schemeClr w14:val="tx1"/>
                  </w14:solidFill>
                </w14:textFill>
              </w:rPr>
              <w:t>5</w:t>
            </w:r>
            <w:r>
              <w:rPr>
                <w:rFonts w:hint="eastAsia" w:ascii="黑体" w:hAnsi="黑体" w:eastAsia="黑体"/>
                <w:b w:val="0"/>
                <w:bCs w:val="0"/>
                <w:color w:val="000000" w:themeColor="text1"/>
                <w:spacing w:val="0"/>
                <w:kern w:val="2"/>
                <w:sz w:val="21"/>
                <w:szCs w:val="22"/>
                <w14:textFill>
                  <w14:solidFill>
                    <w14:schemeClr w14:val="tx1"/>
                  </w14:solidFill>
                </w14:textFill>
              </w:rPr>
              <w:t>分）；</w:t>
            </w:r>
          </w:p>
        </w:tc>
        <w:tc>
          <w:tcPr>
            <w:tcW w:w="1740"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1</w:t>
            </w:r>
            <w:r>
              <w:rPr>
                <w:rFonts w:hint="eastAsia" w:ascii="黑体" w:hAnsi="黑体" w:eastAsia="黑体"/>
                <w:color w:val="000000" w:themeColor="text1"/>
                <w:szCs w:val="22"/>
                <w14:textFill>
                  <w14:solidFill>
                    <w14:schemeClr w14:val="tx1"/>
                  </w14:solidFill>
                </w14:textFill>
              </w:rPr>
              <w:t>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6782" w:type="dxa"/>
            <w:vAlign w:val="top"/>
          </w:tcPr>
          <w:p>
            <w:pPr>
              <w:pStyle w:val="7"/>
              <w:spacing w:line="400" w:lineRule="exact"/>
              <w:ind w:firstLine="0"/>
              <w:jc w:val="left"/>
              <w:rPr>
                <w:rFonts w:hint="eastAsia" w:ascii="黑体" w:hAnsi="黑体" w:eastAsia="黑体"/>
                <w:b w:val="0"/>
                <w:bCs w:val="0"/>
                <w:color w:val="000000" w:themeColor="text1"/>
                <w:spacing w:val="0"/>
                <w:kern w:val="2"/>
                <w:sz w:val="21"/>
                <w:szCs w:val="22"/>
                <w14:textFill>
                  <w14:solidFill>
                    <w14:schemeClr w14:val="tx1"/>
                  </w14:solidFill>
                </w14:textFill>
              </w:rPr>
            </w:pPr>
            <w:r>
              <w:rPr>
                <w:rFonts w:hint="eastAsia" w:ascii="黑体" w:hAnsi="黑体" w:eastAsia="黑体"/>
                <w:b w:val="0"/>
                <w:bCs w:val="0"/>
                <w:color w:val="000000" w:themeColor="text1"/>
                <w:spacing w:val="0"/>
                <w:kern w:val="2"/>
                <w:sz w:val="21"/>
                <w:szCs w:val="22"/>
                <w14:textFill>
                  <w14:solidFill>
                    <w14:schemeClr w14:val="tx1"/>
                  </w14:solidFill>
                </w14:textFill>
              </w:rPr>
              <w:t>全国性有正式刊号的刊物（作为消息报导类的投稿最多可加至</w:t>
            </w:r>
            <w:r>
              <w:rPr>
                <w:rFonts w:ascii="黑体" w:hAnsi="黑体" w:eastAsia="黑体"/>
                <w:b w:val="0"/>
                <w:bCs w:val="0"/>
                <w:color w:val="000000" w:themeColor="text1"/>
                <w:spacing w:val="0"/>
                <w:kern w:val="2"/>
                <w:sz w:val="21"/>
                <w:szCs w:val="22"/>
                <w14:textFill>
                  <w14:solidFill>
                    <w14:schemeClr w14:val="tx1"/>
                  </w14:solidFill>
                </w14:textFill>
              </w:rPr>
              <w:t>7</w:t>
            </w:r>
            <w:r>
              <w:rPr>
                <w:rFonts w:hint="eastAsia" w:ascii="黑体" w:hAnsi="黑体" w:eastAsia="黑体"/>
                <w:b w:val="0"/>
                <w:bCs w:val="0"/>
                <w:color w:val="000000" w:themeColor="text1"/>
                <w:spacing w:val="0"/>
                <w:kern w:val="2"/>
                <w:sz w:val="21"/>
                <w:szCs w:val="22"/>
                <w14:textFill>
                  <w14:solidFill>
                    <w14:schemeClr w14:val="tx1"/>
                  </w14:solidFill>
                </w14:textFill>
              </w:rPr>
              <w:t>分）；</w:t>
            </w:r>
          </w:p>
        </w:tc>
        <w:tc>
          <w:tcPr>
            <w:tcW w:w="1740"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2</w:t>
            </w:r>
            <w:r>
              <w:rPr>
                <w:rFonts w:hint="eastAsia" w:ascii="黑体" w:hAnsi="黑体" w:eastAsia="黑体"/>
                <w:color w:val="000000" w:themeColor="text1"/>
                <w:szCs w:val="22"/>
                <w14:textFill>
                  <w14:solidFill>
                    <w14:schemeClr w14:val="tx1"/>
                  </w14:solidFill>
                </w14:textFill>
              </w:rPr>
              <w:t>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82" w:type="dxa"/>
            <w:vAlign w:val="top"/>
          </w:tcPr>
          <w:p>
            <w:pPr>
              <w:pStyle w:val="7"/>
              <w:spacing w:line="400" w:lineRule="exact"/>
              <w:ind w:firstLine="0"/>
              <w:jc w:val="left"/>
              <w:rPr>
                <w:rFonts w:hint="eastAsia" w:ascii="黑体" w:hAnsi="黑体" w:eastAsia="黑体"/>
                <w:b w:val="0"/>
                <w:bCs w:val="0"/>
                <w:color w:val="000000" w:themeColor="text1"/>
                <w:spacing w:val="0"/>
                <w:kern w:val="2"/>
                <w:sz w:val="21"/>
                <w:szCs w:val="22"/>
                <w14:textFill>
                  <w14:solidFill>
                    <w14:schemeClr w14:val="tx1"/>
                  </w14:solidFill>
                </w14:textFill>
              </w:rPr>
            </w:pPr>
            <w:r>
              <w:rPr>
                <w:rFonts w:hint="eastAsia" w:ascii="黑体" w:hAnsi="黑体" w:eastAsia="黑体"/>
                <w:b w:val="0"/>
                <w:bCs w:val="0"/>
                <w:color w:val="000000" w:themeColor="text1"/>
                <w:spacing w:val="0"/>
                <w:kern w:val="2"/>
                <w:sz w:val="21"/>
                <w:szCs w:val="22"/>
                <w14:textFill>
                  <w14:solidFill>
                    <w14:schemeClr w14:val="tx1"/>
                  </w14:solidFill>
                </w14:textFill>
              </w:rPr>
              <w:t>在官方通讯社的新闻网站（如新华网、中新网）和报刊的官方新闻网站（如南方网、金羊网）发表署名“广东外语外贸大学”的作品，属于省市级有网络经营许可证的官方新闻网站（作为消息报导类的投稿，累计可加</w:t>
            </w:r>
            <w:r>
              <w:rPr>
                <w:rFonts w:ascii="黑体" w:hAnsi="黑体" w:eastAsia="黑体"/>
                <w:b w:val="0"/>
                <w:bCs w:val="0"/>
                <w:color w:val="000000" w:themeColor="text1"/>
                <w:spacing w:val="0"/>
                <w:kern w:val="2"/>
                <w:sz w:val="21"/>
                <w:szCs w:val="22"/>
                <w14:textFill>
                  <w14:solidFill>
                    <w14:schemeClr w14:val="tx1"/>
                  </w14:solidFill>
                </w14:textFill>
              </w:rPr>
              <w:t>3</w:t>
            </w:r>
            <w:r>
              <w:rPr>
                <w:rFonts w:hint="eastAsia" w:ascii="黑体" w:hAnsi="黑体" w:eastAsia="黑体"/>
                <w:b w:val="0"/>
                <w:bCs w:val="0"/>
                <w:color w:val="000000" w:themeColor="text1"/>
                <w:spacing w:val="0"/>
                <w:kern w:val="2"/>
                <w:sz w:val="21"/>
                <w:szCs w:val="22"/>
                <w14:textFill>
                  <w14:solidFill>
                    <w14:schemeClr w14:val="tx1"/>
                  </w14:solidFill>
                </w14:textFill>
              </w:rPr>
              <w:t>分）；</w:t>
            </w:r>
          </w:p>
        </w:tc>
        <w:tc>
          <w:tcPr>
            <w:tcW w:w="1740"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0.5</w:t>
            </w:r>
            <w:r>
              <w:rPr>
                <w:rFonts w:hint="eastAsia" w:ascii="黑体" w:hAnsi="黑体" w:eastAsia="黑体"/>
                <w:color w:val="000000" w:themeColor="text1"/>
                <w:szCs w:val="22"/>
                <w14:textFill>
                  <w14:solidFill>
                    <w14:schemeClr w14:val="tx1"/>
                  </w14:solidFill>
                </w14:textFill>
              </w:rPr>
              <w:t>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82" w:type="dxa"/>
            <w:vAlign w:val="top"/>
          </w:tcPr>
          <w:p>
            <w:pPr>
              <w:pStyle w:val="7"/>
              <w:spacing w:line="400" w:lineRule="exact"/>
              <w:ind w:left="58" w:leftChars="28" w:firstLine="0"/>
              <w:rPr>
                <w:rFonts w:hint="eastAsia" w:ascii="宋体" w:hAnsi="宋体" w:eastAsia="宋体"/>
                <w:b w:val="0"/>
                <w:bCs w:val="0"/>
                <w:color w:val="000000" w:themeColor="text1"/>
                <w:spacing w:val="0"/>
                <w:sz w:val="22"/>
                <w:szCs w:val="22"/>
                <w14:textFill>
                  <w14:solidFill>
                    <w14:schemeClr w14:val="tx1"/>
                  </w14:solidFill>
                </w14:textFill>
              </w:rPr>
            </w:pPr>
            <w:r>
              <w:rPr>
                <w:rFonts w:hint="eastAsia" w:ascii="黑体" w:hAnsi="黑体" w:eastAsia="黑体"/>
                <w:b w:val="0"/>
                <w:bCs w:val="0"/>
                <w:color w:val="000000" w:themeColor="text1"/>
                <w:spacing w:val="0"/>
                <w:kern w:val="2"/>
                <w:sz w:val="21"/>
                <w:szCs w:val="22"/>
                <w14:textFill>
                  <w14:solidFill>
                    <w14:schemeClr w14:val="tx1"/>
                  </w14:solidFill>
                </w14:textFill>
              </w:rPr>
              <w:t>属于全国性有网络经营许可证的官方新闻网站（作为消息报导类的投稿，累计可加</w:t>
            </w:r>
            <w:r>
              <w:rPr>
                <w:rFonts w:ascii="黑体" w:hAnsi="黑体" w:eastAsia="黑体"/>
                <w:b w:val="0"/>
                <w:bCs w:val="0"/>
                <w:color w:val="000000" w:themeColor="text1"/>
                <w:spacing w:val="0"/>
                <w:kern w:val="2"/>
                <w:sz w:val="21"/>
                <w:szCs w:val="22"/>
                <w14:textFill>
                  <w14:solidFill>
                    <w14:schemeClr w14:val="tx1"/>
                  </w14:solidFill>
                </w14:textFill>
              </w:rPr>
              <w:t>5</w:t>
            </w:r>
            <w:r>
              <w:rPr>
                <w:rFonts w:hint="eastAsia" w:ascii="黑体" w:hAnsi="黑体" w:eastAsia="黑体"/>
                <w:b w:val="0"/>
                <w:bCs w:val="0"/>
                <w:color w:val="000000" w:themeColor="text1"/>
                <w:spacing w:val="0"/>
                <w:kern w:val="2"/>
                <w:sz w:val="21"/>
                <w:szCs w:val="22"/>
                <w14:textFill>
                  <w14:solidFill>
                    <w14:schemeClr w14:val="tx1"/>
                  </w14:solidFill>
                </w14:textFill>
              </w:rPr>
              <w:t>分）；</w:t>
            </w:r>
          </w:p>
        </w:tc>
        <w:tc>
          <w:tcPr>
            <w:tcW w:w="1740" w:type="dxa"/>
            <w:vAlign w:val="top"/>
          </w:tcPr>
          <w:p>
            <w:pPr>
              <w:tabs>
                <w:tab w:val="left" w:pos="1650"/>
              </w:tabs>
              <w:autoSpaceDE w:val="0"/>
              <w:autoSpaceDN w:val="0"/>
              <w:adjustRightInd w:val="0"/>
              <w:jc w:val="left"/>
              <w:rPr>
                <w:rFonts w:hint="eastAsia" w:ascii="黑体" w:hAnsi="黑体" w:eastAsia="黑体"/>
                <w:color w:val="000000" w:themeColor="text1"/>
                <w:szCs w:val="22"/>
                <w14:textFill>
                  <w14:solidFill>
                    <w14:schemeClr w14:val="tx1"/>
                  </w14:solidFill>
                </w14:textFill>
              </w:rPr>
            </w:pPr>
            <w:r>
              <w:rPr>
                <w:rFonts w:ascii="黑体" w:hAnsi="黑体" w:eastAsia="黑体"/>
                <w:color w:val="000000" w:themeColor="text1"/>
                <w:szCs w:val="22"/>
                <w14:textFill>
                  <w14:solidFill>
                    <w14:schemeClr w14:val="tx1"/>
                  </w14:solidFill>
                </w14:textFill>
              </w:rPr>
              <w:t>1</w:t>
            </w:r>
            <w:r>
              <w:rPr>
                <w:rFonts w:hint="eastAsia" w:ascii="黑体" w:hAnsi="黑体" w:eastAsia="黑体"/>
                <w:color w:val="000000" w:themeColor="text1"/>
                <w:szCs w:val="22"/>
                <w14:textFill>
                  <w14:solidFill>
                    <w14:schemeClr w14:val="tx1"/>
                  </w14:solidFill>
                </w14:textFill>
              </w:rPr>
              <w:t>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22" w:type="dxa"/>
            <w:gridSpan w:val="2"/>
            <w:vAlign w:val="top"/>
          </w:tcPr>
          <w:p>
            <w:pPr>
              <w:spacing w:line="276" w:lineRule="auto"/>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备注：</w:t>
            </w:r>
          </w:p>
          <w:p>
            <w:pPr>
              <w:tabs>
                <w:tab w:val="left" w:pos="1650"/>
              </w:tabs>
              <w:autoSpaceDE w:val="0"/>
              <w:autoSpaceDN w:val="0"/>
              <w:adjustRightInd w:val="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1、实习期间发表刊物、在校内媒体发表文章、创新奖均不在此加分范围内。</w:t>
            </w:r>
          </w:p>
          <w:p>
            <w:pPr>
              <w:tabs>
                <w:tab w:val="left" w:pos="1650"/>
              </w:tabs>
              <w:autoSpaceDE w:val="0"/>
              <w:autoSpaceDN w:val="0"/>
              <w:adjustRightInd w:val="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2、同一文章发表在多份报刊、多家网站，只计最高分，不重复加分。</w:t>
            </w:r>
          </w:p>
          <w:p>
            <w:pPr>
              <w:tabs>
                <w:tab w:val="left" w:pos="1650"/>
              </w:tabs>
              <w:autoSpaceDE w:val="0"/>
              <w:autoSpaceDN w:val="0"/>
              <w:adjustRightInd w:val="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3、校外刊物发表文章必须署名“广东外语外贸大学</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才可加分。</w:t>
            </w:r>
          </w:p>
          <w:p>
            <w:pPr>
              <w:tabs>
                <w:tab w:val="left" w:pos="1650"/>
              </w:tabs>
              <w:autoSpaceDE w:val="0"/>
              <w:autoSpaceDN w:val="0"/>
              <w:adjustRightInd w:val="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4、在校外非官方新闻类网站上投稿或发表者不予加分。</w:t>
            </w:r>
          </w:p>
          <w:p>
            <w:pPr>
              <w:tabs>
                <w:tab w:val="left" w:pos="1650"/>
              </w:tabs>
              <w:autoSpaceDE w:val="0"/>
              <w:autoSpaceDN w:val="0"/>
              <w:adjustRightInd w:val="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5、如在刊物、网站上使用笔名发表文章，需要上交由出版单位出具的证明。</w:t>
            </w:r>
          </w:p>
        </w:tc>
      </w:tr>
    </w:tbl>
    <w:p>
      <w:pPr>
        <w:rPr>
          <w:rFonts w:hint="eastAsia" w:ascii="黑体" w:hAnsi="黑体" w:eastAsia="黑体"/>
          <w:color w:val="000000" w:themeColor="text1"/>
          <w:szCs w:val="21"/>
          <w14:textFill>
            <w14:solidFill>
              <w14:schemeClr w14:val="tx1"/>
            </w14:solidFill>
          </w14:textFill>
        </w:rPr>
      </w:pPr>
    </w:p>
    <w:p>
      <w:pPr>
        <w:pStyle w:val="9"/>
        <w:numPr>
          <w:ilvl w:val="0"/>
          <w:numId w:val="14"/>
        </w:numPr>
        <w:ind w:firstLineChars="0"/>
        <w:jc w:val="left"/>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文体表现测评</w:t>
      </w:r>
    </w:p>
    <w:p>
      <w:pPr>
        <w:pStyle w:val="9"/>
        <w:ind w:left="420" w:firstLine="0" w:firstLineChars="0"/>
        <w:jc w:val="left"/>
        <w:rPr>
          <w:rFonts w:hint="eastAsia"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1）体育活动</w:t>
      </w:r>
    </w:p>
    <w:p>
      <w:pPr>
        <w:spacing w:line="400" w:lineRule="exact"/>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国家级：</w:t>
      </w:r>
      <w:r>
        <w:rPr>
          <w:rFonts w:hint="eastAsia" w:ascii="黑体" w:hAnsi="黑体" w:eastAsia="黑体"/>
          <w:color w:val="000000" w:themeColor="text1"/>
          <w14:textFill>
            <w14:solidFill>
              <w14:schemeClr w14:val="tx1"/>
            </w14:solidFill>
          </w14:textFill>
        </w:rPr>
        <w:t>全国羽毛球锦标赛等体育活动等；</w:t>
      </w:r>
    </w:p>
    <w:p>
      <w:pPr>
        <w:spacing w:line="400" w:lineRule="exact"/>
        <w:jc w:val="left"/>
        <w:rPr>
          <w:rFonts w:hint="eastAsia" w:ascii="黑体" w:hAnsi="黑体" w:eastAsia="黑体"/>
          <w:color w:val="000000" w:themeColor="text1"/>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 xml:space="preserve">省级： </w:t>
      </w:r>
      <w:r>
        <w:rPr>
          <w:rFonts w:hint="eastAsia" w:ascii="黑体" w:hAnsi="黑体" w:eastAsia="黑体"/>
          <w:color w:val="000000" w:themeColor="text1"/>
          <w14:textFill>
            <w14:solidFill>
              <w14:schemeClr w14:val="tx1"/>
            </w14:solidFill>
          </w14:textFill>
        </w:rPr>
        <w:t>广东省排球联赛、省健美操大赛、省大学生游泳锦标赛、中国大学生武术锦标赛（</w:t>
      </w:r>
      <w:r>
        <w:rPr>
          <w:rFonts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中国大学生体育协会主办）等；</w:t>
      </w:r>
    </w:p>
    <w:p>
      <w:pPr>
        <w:spacing w:line="400" w:lineRule="exact"/>
        <w:jc w:val="left"/>
        <w:rPr>
          <w:rFonts w:hint="eastAsia" w:ascii="黑体" w:hAnsi="黑体" w:eastAsia="黑体"/>
          <w:color w:val="000000" w:themeColor="text1"/>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校级：</w:t>
      </w:r>
      <w:r>
        <w:rPr>
          <w:rFonts w:hint="eastAsia" w:ascii="黑体" w:hAnsi="黑体" w:eastAsia="黑体"/>
          <w:color w:val="000000" w:themeColor="text1"/>
          <w14:textFill>
            <w14:solidFill>
              <w14:schemeClr w14:val="tx1"/>
            </w14:solidFill>
          </w14:textFill>
        </w:rPr>
        <w:t>“广外杯”“新生杯”等篮球、足球、羽毛球、乒乓球、校运会、十人十一足、</w:t>
      </w:r>
      <w:r>
        <w:rPr>
          <w:rFonts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广外杯毽球赛（毽球协会主办）、体育舞蹈大赛等；</w:t>
      </w:r>
    </w:p>
    <w:p>
      <w:pPr>
        <w:pStyle w:val="9"/>
        <w:spacing w:line="276" w:lineRule="auto"/>
        <w:ind w:firstLine="0" w:firstLineChars="0"/>
        <w:jc w:val="left"/>
        <w:rPr>
          <w:rFonts w:hint="eastAsia" w:ascii="黑体" w:hAnsi="黑体" w:eastAsia="黑体"/>
          <w:color w:val="000000" w:themeColor="text1"/>
          <w:szCs w:val="24"/>
          <w14:textFill>
            <w14:solidFill>
              <w14:schemeClr w14:val="tx1"/>
            </w14:solidFill>
          </w14:textFill>
        </w:rPr>
      </w:pPr>
      <w:r>
        <w:rPr>
          <w:rFonts w:hint="eastAsia" w:ascii="黑体" w:hAnsi="黑体" w:eastAsia="黑体"/>
          <w:b/>
          <w:color w:val="000000" w:themeColor="text1"/>
          <w14:textFill>
            <w14:solidFill>
              <w14:schemeClr w14:val="tx1"/>
            </w14:solidFill>
          </w14:textFill>
        </w:rPr>
        <w:t>院级：</w:t>
      </w:r>
      <w:r>
        <w:rPr>
          <w:rFonts w:hint="eastAsia" w:ascii="黑体" w:hAnsi="黑体" w:eastAsia="黑体"/>
          <w:color w:val="000000" w:themeColor="text1"/>
          <w:szCs w:val="24"/>
          <w14:textFill>
            <w14:solidFill>
              <w14:schemeClr w14:val="tx1"/>
            </w14:solidFill>
          </w14:textFill>
        </w:rPr>
        <w:t>院运会等。</w:t>
      </w:r>
    </w:p>
    <w:tbl>
      <w:tblPr>
        <w:tblStyle w:val="4"/>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8" w:type="dxa"/>
            <w:vAlign w:val="center"/>
          </w:tcPr>
          <w:p>
            <w:pPr>
              <w:spacing w:line="276" w:lineRule="auto"/>
              <w:rPr>
                <w:rFonts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 xml:space="preserve">项目                                                      </w:t>
            </w:r>
          </w:p>
        </w:tc>
        <w:tc>
          <w:tcPr>
            <w:tcW w:w="2700" w:type="dxa"/>
            <w:vAlign w:val="center"/>
          </w:tcPr>
          <w:p>
            <w:pPr>
              <w:spacing w:line="276" w:lineRule="auto"/>
              <w:rPr>
                <w:rFonts w:hint="eastAsia"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8" w:type="dxa"/>
            <w:vAlign w:val="center"/>
          </w:tcPr>
          <w:p>
            <w:pPr>
              <w:spacing w:line="276" w:lineRule="auto"/>
              <w:rPr>
                <w:rFonts w:hint="eastAsia" w:ascii="黑体" w:hAnsi="黑体" w:eastAsia="黑体"/>
                <w:color w:val="000000" w:themeColor="text1"/>
                <w:sz w:val="22"/>
                <w14:textFill>
                  <w14:solidFill>
                    <w14:schemeClr w14:val="tx1"/>
                  </w14:solidFill>
                </w14:textFill>
              </w:rPr>
            </w:pPr>
            <w:r>
              <w:rPr>
                <w:rFonts w:hint="eastAsia" w:ascii="黑体" w:hAnsi="黑体" w:eastAsia="黑体"/>
                <w:color w:val="000000" w:themeColor="text1"/>
                <w14:textFill>
                  <w14:solidFill>
                    <w14:schemeClr w14:val="tx1"/>
                  </w14:solidFill>
                </w14:textFill>
              </w:rPr>
              <w:t>校运会出席进场方阵、环校跑、GDUFS RUN</w:t>
            </w:r>
          </w:p>
        </w:tc>
        <w:tc>
          <w:tcPr>
            <w:tcW w:w="2700" w:type="dxa"/>
            <w:vAlign w:val="center"/>
          </w:tcPr>
          <w:p>
            <w:pPr>
              <w:spacing w:line="276" w:lineRule="auto"/>
              <w:rPr>
                <w:rFonts w:hint="eastAsia" w:ascii="黑体" w:hAnsi="黑体" w:eastAsia="黑体"/>
                <w:color w:val="000000" w:themeColor="text1"/>
                <w:sz w:val="22"/>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8" w:type="dxa"/>
            <w:vAlign w:val="center"/>
          </w:tcPr>
          <w:p>
            <w:p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院级非球类比赛</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获</w:t>
            </w: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t>名</w:t>
            </w:r>
          </w:p>
          <w:p>
            <w:pPr>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获前三名</w:t>
            </w:r>
          </w:p>
        </w:tc>
        <w:tc>
          <w:tcPr>
            <w:tcW w:w="2700" w:type="dxa"/>
            <w:vAlign w:val="top"/>
          </w:tcPr>
          <w:p>
            <w:pPr>
              <w:pStyle w:val="9"/>
              <w:ind w:firstLine="0" w:firstLineChars="0"/>
              <w:rPr>
                <w:rFonts w:hint="eastAsia" w:ascii="黑体" w:hAnsi="黑体" w:eastAsia="黑体"/>
                <w:color w:val="000000" w:themeColor="text1"/>
                <w14:textFill>
                  <w14:solidFill>
                    <w14:schemeClr w14:val="tx1"/>
                  </w14:solidFill>
                </w14:textFill>
              </w:rPr>
            </w:pP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0.</w:t>
            </w:r>
            <w:r>
              <w:rPr>
                <w:rFonts w:hint="eastAsia" w:ascii="黑体" w:hAnsi="黑体" w:eastAsia="黑体"/>
                <w:color w:val="000000" w:themeColor="text1"/>
                <w:lang w:val="en-US" w:eastAsia="zh-CN"/>
                <w14:textFill>
                  <w14:solidFill>
                    <w14:schemeClr w14:val="tx1"/>
                  </w14:solidFill>
                </w14:textFill>
              </w:rPr>
              <w:t>5</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1</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2</w:t>
            </w:r>
            <w:r>
              <w:rPr>
                <w:rFonts w:hint="eastAsia" w:ascii="黑体" w:hAnsi="黑体" w:eastAsia="黑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508" w:type="dxa"/>
            <w:vAlign w:val="center"/>
          </w:tcPr>
          <w:p>
            <w:p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院级球类比赛</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获</w:t>
            </w: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t>名（主力队员，非主力队员）</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获前三名（主力队员，非主力队员）</w:t>
            </w:r>
          </w:p>
          <w:p>
            <w:pPr>
              <w:rPr>
                <w:rFonts w:hint="eastAsia" w:ascii="黑体" w:hAnsi="黑体" w:eastAsia="黑体"/>
                <w:color w:val="000000" w:themeColor="text1"/>
                <w14:textFill>
                  <w14:solidFill>
                    <w14:schemeClr w14:val="tx1"/>
                  </w14:solidFill>
                </w14:textFill>
              </w:rPr>
            </w:pPr>
          </w:p>
          <w:p>
            <w:pPr>
              <w:rPr>
                <w:rFonts w:hint="eastAsia" w:ascii="黑体" w:hAnsi="黑体" w:eastAsia="黑体"/>
                <w:color w:val="000000" w:themeColor="text1"/>
                <w14:textFill>
                  <w14:solidFill>
                    <w14:schemeClr w14:val="tx1"/>
                  </w14:solidFill>
                </w14:textFill>
              </w:rPr>
            </w:pP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0.</w:t>
            </w:r>
            <w:r>
              <w:rPr>
                <w:rFonts w:hint="eastAsia" w:ascii="黑体" w:hAnsi="黑体" w:eastAsia="黑体"/>
                <w:color w:val="000000" w:themeColor="text1"/>
                <w:lang w:val="en-US" w:eastAsia="zh-CN"/>
                <w14:textFill>
                  <w14:solidFill>
                    <w14:schemeClr w14:val="tx1"/>
                  </w14:solidFill>
                </w14:textFill>
              </w:rPr>
              <w:t>5</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2</w:t>
            </w:r>
            <w:r>
              <w:rPr>
                <w:rFonts w:hint="eastAsia" w:ascii="黑体" w:hAnsi="黑体" w:eastAsia="黑体"/>
                <w:color w:val="000000" w:themeColor="text1"/>
                <w14:textFill>
                  <w14:solidFill>
                    <w14:schemeClr w14:val="tx1"/>
                  </w14:solidFill>
                </w14:textFill>
              </w:rPr>
              <w:t>分，</w:t>
            </w:r>
            <w:r>
              <w:rPr>
                <w:rFonts w:hint="eastAsia" w:ascii="黑体" w:hAnsi="黑体" w:eastAsia="黑体"/>
                <w:color w:val="000000" w:themeColor="text1"/>
                <w:lang w:val="en-US" w:eastAsia="zh-CN"/>
                <w14:textFill>
                  <w14:solidFill>
                    <w14:schemeClr w14:val="tx1"/>
                  </w14:solidFill>
                </w14:textFill>
              </w:rPr>
              <w:t>1</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2.5</w:t>
            </w:r>
            <w:r>
              <w:rPr>
                <w:rFonts w:hint="eastAsia" w:ascii="黑体" w:hAnsi="黑体" w:eastAsia="黑体"/>
                <w:color w:val="000000" w:themeColor="text1"/>
                <w14:textFill>
                  <w14:solidFill>
                    <w14:schemeClr w14:val="tx1"/>
                  </w14:solidFill>
                </w14:textFill>
              </w:rPr>
              <w:t>分，</w:t>
            </w:r>
            <w:r>
              <w:rPr>
                <w:rFonts w:hint="eastAsia" w:ascii="黑体" w:hAnsi="黑体" w:eastAsia="黑体"/>
                <w:color w:val="000000" w:themeColor="text1"/>
                <w:lang w:val="en-US" w:eastAsia="zh-CN"/>
                <w14:textFill>
                  <w14:solidFill>
                    <w14:schemeClr w14:val="tx1"/>
                  </w14:solidFill>
                </w14:textFill>
              </w:rPr>
              <w:t>2</w:t>
            </w:r>
            <w:r>
              <w:rPr>
                <w:rFonts w:hint="eastAsia" w:ascii="黑体" w:hAnsi="黑体" w:eastAsia="黑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8" w:type="dxa"/>
            <w:vAlign w:val="center"/>
          </w:tcPr>
          <w:p>
            <w:p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校级非球类体育比赛</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获</w:t>
            </w: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t>名</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前三名</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1</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2</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3</w:t>
            </w:r>
            <w:r>
              <w:rPr>
                <w:rFonts w:hint="eastAsia" w:ascii="黑体" w:hAnsi="黑体" w:eastAsia="黑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5508" w:type="dxa"/>
            <w:vAlign w:val="center"/>
          </w:tcPr>
          <w:p>
            <w:p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校级球类体育比赛</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获</w:t>
            </w: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t>名（主力队员，非主力队员）</w:t>
            </w:r>
          </w:p>
          <w:p>
            <w:pPr>
              <w:rPr>
                <w:rFonts w:hint="eastAsia" w:ascii="黑体" w:hAnsi="黑体" w:eastAsia="黑体"/>
                <w:b/>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前三名（主力队员，非主力队员）</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1</w:t>
            </w:r>
            <w:r>
              <w:rPr>
                <w:rFonts w:hint="eastAsia" w:ascii="黑体" w:hAnsi="黑体" w:eastAsia="黑体"/>
                <w:color w:val="000000" w:themeColor="text1"/>
                <w14:textFill>
                  <w14:solidFill>
                    <w14:schemeClr w14:val="tx1"/>
                  </w14:solidFill>
                </w14:textFill>
              </w:rPr>
              <w:t>.5分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2分，1分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5508" w:type="dxa"/>
            <w:vAlign w:val="center"/>
          </w:tcPr>
          <w:p>
            <w:p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lang w:eastAsia="zh-CN"/>
                <w14:textFill>
                  <w14:solidFill>
                    <w14:schemeClr w14:val="tx1"/>
                  </w14:solidFill>
                </w14:textFill>
              </w:rPr>
              <w:t>省</w:t>
            </w:r>
            <w:r>
              <w:rPr>
                <w:rFonts w:hint="eastAsia" w:ascii="黑体" w:hAnsi="黑体" w:eastAsia="黑体"/>
                <w:b/>
                <w:color w:val="000000" w:themeColor="text1"/>
                <w14:textFill>
                  <w14:solidFill>
                    <w14:schemeClr w14:val="tx1"/>
                  </w14:solidFill>
                </w14:textFill>
              </w:rPr>
              <w:t>级非球类体育比赛</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获</w:t>
            </w: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t>名</w:t>
            </w:r>
          </w:p>
          <w:p>
            <w:pPr>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前三名</w:t>
            </w:r>
          </w:p>
        </w:tc>
        <w:tc>
          <w:tcPr>
            <w:tcW w:w="2700" w:type="dxa"/>
            <w:vAlign w:val="center"/>
          </w:tcPr>
          <w:p>
            <w:pPr>
              <w:pStyle w:val="9"/>
              <w:ind w:firstLine="0" w:firstLineChars="0"/>
              <w:rPr>
                <w:rFonts w:hint="eastAsia" w:ascii="黑体" w:hAnsi="黑体" w:eastAsia="黑体"/>
                <w:color w:val="000000" w:themeColor="text1"/>
                <w:lang w:val="en-US" w:eastAsia="zh-CN"/>
                <w14:textFill>
                  <w14:solidFill>
                    <w14:schemeClr w14:val="tx1"/>
                  </w14:solidFill>
                </w14:textFill>
              </w:rPr>
            </w:pP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2</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3</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5</w:t>
            </w:r>
            <w:r>
              <w:rPr>
                <w:rFonts w:hint="eastAsia" w:ascii="黑体" w:hAnsi="黑体" w:eastAsia="黑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5508" w:type="dxa"/>
            <w:vAlign w:val="center"/>
          </w:tcPr>
          <w:p>
            <w:pP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lang w:eastAsia="zh-CN"/>
                <w14:textFill>
                  <w14:solidFill>
                    <w14:schemeClr w14:val="tx1"/>
                  </w14:solidFill>
                </w14:textFill>
              </w:rPr>
              <w:t>省</w:t>
            </w:r>
            <w:r>
              <w:rPr>
                <w:rFonts w:hint="eastAsia" w:ascii="黑体" w:hAnsi="黑体" w:eastAsia="黑体"/>
                <w:b/>
                <w:color w:val="000000" w:themeColor="text1"/>
                <w14:textFill>
                  <w14:solidFill>
                    <w14:schemeClr w14:val="tx1"/>
                  </w14:solidFill>
                </w14:textFill>
              </w:rPr>
              <w:t>级球类体育比赛</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w:t>
            </w:r>
          </w:p>
          <w:p>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获</w:t>
            </w: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t>名（主力队员，非主力队员）</w:t>
            </w:r>
          </w:p>
          <w:p>
            <w:pPr>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前三名（主力队员，非主力队员）</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2</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3</w:t>
            </w:r>
            <w:r>
              <w:rPr>
                <w:rFonts w:hint="eastAsia" w:ascii="黑体" w:hAnsi="黑体" w:eastAsia="黑体"/>
                <w:color w:val="000000" w:themeColor="text1"/>
                <w14:textFill>
                  <w14:solidFill>
                    <w14:schemeClr w14:val="tx1"/>
                  </w14:solidFill>
                </w14:textFill>
              </w:rPr>
              <w:t>分，</w:t>
            </w:r>
            <w:r>
              <w:rPr>
                <w:rFonts w:hint="eastAsia" w:ascii="黑体" w:hAnsi="黑体" w:eastAsia="黑体"/>
                <w:color w:val="000000" w:themeColor="text1"/>
                <w:lang w:val="en-US" w:eastAsia="zh-CN"/>
                <w14:textFill>
                  <w14:solidFill>
                    <w14:schemeClr w14:val="tx1"/>
                  </w14:solidFill>
                </w14:textFill>
              </w:rPr>
              <w:t>2</w:t>
            </w:r>
            <w:r>
              <w:rPr>
                <w:rFonts w:hint="eastAsia" w:ascii="黑体" w:hAnsi="黑体" w:eastAsia="黑体"/>
                <w:color w:val="000000" w:themeColor="text1"/>
                <w14:textFill>
                  <w14:solidFill>
                    <w14:schemeClr w14:val="tx1"/>
                  </w14:solidFill>
                </w14:textFill>
              </w:rPr>
              <w:t>分</w:t>
            </w:r>
          </w:p>
          <w:p>
            <w:pPr>
              <w:pStyle w:val="9"/>
              <w:ind w:firstLine="0" w:firstLineChars="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5</w:t>
            </w:r>
            <w:r>
              <w:rPr>
                <w:rFonts w:hint="eastAsia" w:ascii="黑体" w:hAnsi="黑体" w:eastAsia="黑体"/>
                <w:color w:val="000000" w:themeColor="text1"/>
                <w14:textFill>
                  <w14:solidFill>
                    <w14:schemeClr w14:val="tx1"/>
                  </w14:solidFill>
                </w14:textFill>
              </w:rPr>
              <w:t>分，</w:t>
            </w:r>
            <w:r>
              <w:rPr>
                <w:rFonts w:hint="eastAsia" w:ascii="黑体" w:hAnsi="黑体" w:eastAsia="黑体"/>
                <w:color w:val="000000" w:themeColor="text1"/>
                <w:lang w:val="en-US" w:eastAsia="zh-CN"/>
                <w14:textFill>
                  <w14:solidFill>
                    <w14:schemeClr w14:val="tx1"/>
                  </w14:solidFill>
                </w14:textFill>
              </w:rPr>
              <w:t>3</w:t>
            </w:r>
            <w:r>
              <w:rPr>
                <w:rFonts w:hint="eastAsia" w:ascii="黑体" w:hAnsi="黑体" w:eastAsia="黑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5508" w:type="dxa"/>
            <w:vAlign w:val="center"/>
          </w:tcPr>
          <w:p>
            <w:pPr>
              <w:rPr>
                <w:rFonts w:hint="eastAsia" w:ascii="黑体" w:hAnsi="黑体" w:eastAsia="黑体"/>
                <w:b/>
                <w:color w:val="000000" w:themeColor="text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田径、游泳比赛破院、校、市、省高校、全国大学生纪录</w:t>
            </w:r>
          </w:p>
        </w:tc>
        <w:tc>
          <w:tcPr>
            <w:tcW w:w="270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2、4、6、8、20分/项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8208" w:type="dxa"/>
            <w:gridSpan w:val="2"/>
            <w:vAlign w:val="center"/>
          </w:tcPr>
          <w:p>
            <w:pPr>
              <w:spacing w:line="276" w:lineRule="auto"/>
              <w:ind w:left="420" w:hanging="420" w:hangingChars="20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备注：</w:t>
            </w:r>
          </w:p>
          <w:p>
            <w:pPr>
              <w:pStyle w:val="7"/>
              <w:numPr>
                <w:ilvl w:val="0"/>
                <w:numId w:val="0"/>
              </w:numPr>
              <w:spacing w:line="400" w:lineRule="exact"/>
              <w:ind w:left="15" w:leftChars="0"/>
              <w:rPr>
                <w:rFonts w:hint="eastAsia" w:ascii="黑体" w:hAnsi="黑体" w:eastAsia="黑体"/>
                <w:bCs w:val="0"/>
                <w:color w:val="000000" w:themeColor="text1"/>
                <w:spacing w:val="0"/>
                <w:kern w:val="2"/>
                <w:sz w:val="21"/>
                <w:szCs w:val="21"/>
                <w14:textFill>
                  <w14:solidFill>
                    <w14:schemeClr w14:val="tx1"/>
                  </w14:solidFill>
                </w14:textFill>
              </w:rPr>
            </w:pPr>
            <w:r>
              <w:rPr>
                <w:rFonts w:hint="eastAsia" w:ascii="黑体" w:hAnsi="黑体" w:eastAsia="黑体"/>
                <w:bCs w:val="0"/>
                <w:color w:val="000000" w:themeColor="text1"/>
                <w:spacing w:val="0"/>
                <w:kern w:val="2"/>
                <w:sz w:val="21"/>
                <w:szCs w:val="21"/>
                <w:lang w:val="en-US" w:eastAsia="zh-CN"/>
                <w14:textFill>
                  <w14:solidFill>
                    <w14:schemeClr w14:val="tx1"/>
                  </w14:solidFill>
                </w14:textFill>
              </w:rPr>
              <w:t>1、</w:t>
            </w:r>
            <w:r>
              <w:rPr>
                <w:rFonts w:hint="eastAsia" w:ascii="黑体" w:hAnsi="黑体" w:eastAsia="黑体"/>
                <w:bCs w:val="0"/>
                <w:color w:val="000000" w:themeColor="text1"/>
                <w:spacing w:val="0"/>
                <w:kern w:val="2"/>
                <w:sz w:val="21"/>
                <w:szCs w:val="21"/>
                <w14:textFill>
                  <w14:solidFill>
                    <w14:schemeClr w14:val="tx1"/>
                  </w14:solidFill>
                </w14:textFill>
              </w:rPr>
              <w:t>参加比赛并且获奖的同学可以同时加参赛分和获奖分。</w:t>
            </w:r>
          </w:p>
          <w:p>
            <w:pPr>
              <w:numPr>
                <w:ilvl w:val="0"/>
                <w:numId w:val="11"/>
              </w:numPr>
              <w:spacing w:line="276" w:lineRule="auto"/>
              <w:rPr>
                <w:rFonts w:hint="eastAsia" w:ascii="黑体" w:hAnsi="黑体" w:eastAsia="黑体"/>
                <w:color w:val="000000" w:themeColor="text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院运会、校运会参加同一项目（羽毛球单打与双打属于不同项目）的只记一次最高分。</w:t>
            </w:r>
          </w:p>
          <w:p>
            <w:pPr>
              <w:numPr>
                <w:ilvl w:val="0"/>
                <w:numId w:val="11"/>
              </w:numPr>
              <w:spacing w:line="276" w:lineRule="auto"/>
              <w:rPr>
                <w:rFonts w:hint="eastAsia" w:ascii="黑体" w:hAnsi="黑体" w:eastAsia="黑体"/>
                <w:color w:val="000000" w:themeColor="text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参加省市高校运动会的运动员每次每项加</w:t>
            </w:r>
            <w:r>
              <w:rPr>
                <w:rFonts w:ascii="黑体" w:hAnsi="黑体" w:eastAsia="黑体" w:cs="宋体"/>
                <w:color w:val="000000" w:themeColor="text1"/>
                <w:kern w:val="0"/>
                <w:szCs w:val="21"/>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分，获名次者按校级两倍加分。</w:t>
            </w:r>
          </w:p>
          <w:p>
            <w:pPr>
              <w:numPr>
                <w:ilvl w:val="0"/>
                <w:numId w:val="11"/>
              </w:numPr>
              <w:spacing w:line="276" w:lineRule="auto"/>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招进学校的体育尖子生的体育成绩第一学年由教练员根据比赛成绩，平时训练出勤、表现等情况评定，第二、第三学年按体育部提供的年度考核成绩计算，第四学年根据第二、第三、第四学年比赛成绩、平时训练出勤、表现等情况评定。</w:t>
            </w:r>
          </w:p>
          <w:p>
            <w:pPr>
              <w:numPr>
                <w:ilvl w:val="0"/>
                <w:numId w:val="11"/>
              </w:numPr>
              <w:spacing w:line="276" w:lineRule="auto"/>
              <w:rPr>
                <w:rFonts w:hint="eastAsia" w:ascii="黑体" w:hAnsi="黑体" w:eastAsia="黑体"/>
                <w:color w:val="000000" w:themeColor="text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文体比赛的项目要求是正规的比赛，有明确的主办单位（提供相关参加以及获奖证明），才可以给予加分。</w:t>
            </w:r>
          </w:p>
          <w:p>
            <w:pPr>
              <w:numPr>
                <w:ilvl w:val="0"/>
                <w:numId w:val="11"/>
              </w:numPr>
              <w:spacing w:line="276" w:lineRule="auto"/>
              <w:rPr>
                <w:rFonts w:hint="eastAsia" w:ascii="黑体" w:hAnsi="黑体" w:eastAsia="黑体"/>
                <w:color w:val="000000" w:themeColor="text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铅球属于非球类运动。</w:t>
            </w:r>
            <w:r>
              <w:rPr>
                <w:rFonts w:hint="eastAsia" w:ascii="黑体" w:hAnsi="黑体" w:eastAsia="黑体"/>
                <w:color w:val="000000" w:themeColor="text1"/>
                <w14:textFill>
                  <w14:solidFill>
                    <w14:schemeClr w14:val="tx1"/>
                  </w14:solidFill>
                </w14:textFill>
              </w:rPr>
              <w:t>院运会趣味比赛不加分。</w:t>
            </w:r>
          </w:p>
          <w:p>
            <w:pPr>
              <w:numPr>
                <w:ilvl w:val="0"/>
                <w:numId w:val="11"/>
              </w:numPr>
              <w:spacing w:line="276" w:lineRule="auto"/>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篮球队、足球队主力队员的界定以队长出示的名单为准。</w:t>
            </w:r>
          </w:p>
        </w:tc>
      </w:tr>
    </w:tbl>
    <w:p>
      <w:pPr>
        <w:rPr>
          <w:rFonts w:hint="eastAsia" w:ascii="黑体" w:hAnsi="黑体" w:eastAsia="黑体"/>
          <w:b/>
          <w:color w:val="000000" w:themeColor="text1"/>
          <w:sz w:val="24"/>
          <w:szCs w:val="21"/>
          <w14:textFill>
            <w14:solidFill>
              <w14:schemeClr w14:val="tx1"/>
            </w14:solidFill>
          </w14:textFill>
        </w:rPr>
      </w:pPr>
    </w:p>
    <w:p>
      <w:pPr>
        <w:ind w:firstLine="240" w:firstLineChars="100"/>
        <w:rPr>
          <w:rFonts w:hint="eastAsia" w:ascii="黑体" w:hAnsi="黑体" w:eastAsia="黑体"/>
          <w:b/>
          <w:color w:val="000000" w:themeColor="text1"/>
          <w:sz w:val="24"/>
          <w:szCs w:val="21"/>
          <w14:textFill>
            <w14:solidFill>
              <w14:schemeClr w14:val="tx1"/>
            </w14:solidFill>
          </w14:textFill>
        </w:rPr>
      </w:pPr>
      <w:r>
        <w:rPr>
          <w:rFonts w:hint="eastAsia" w:ascii="黑体" w:hAnsi="黑体" w:eastAsia="黑体"/>
          <w:b/>
          <w:color w:val="000000" w:themeColor="text1"/>
          <w:sz w:val="24"/>
          <w:szCs w:val="21"/>
          <w14:textFill>
            <w14:solidFill>
              <w14:schemeClr w14:val="tx1"/>
            </w14:solidFill>
          </w14:textFill>
        </w:rPr>
        <w:t>2）裁判员</w:t>
      </w:r>
    </w:p>
    <w:tbl>
      <w:tblPr>
        <w:tblStyle w:val="4"/>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8"/>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8" w:type="dxa"/>
            <w:vAlign w:val="center"/>
          </w:tcPr>
          <w:p>
            <w:pPr>
              <w:rPr>
                <w:rFonts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 xml:space="preserve">项目                                                      </w:t>
            </w:r>
          </w:p>
        </w:tc>
        <w:tc>
          <w:tcPr>
            <w:tcW w:w="2870" w:type="dxa"/>
            <w:vAlign w:val="center"/>
          </w:tcPr>
          <w:p>
            <w:pPr>
              <w:rPr>
                <w:rFonts w:hint="eastAsia"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5338" w:type="dxa"/>
            <w:vAlign w:val="center"/>
          </w:tcPr>
          <w:p>
            <w:pPr>
              <w:ind w:leftChars="-257" w:hanging="539" w:hangingChars="257"/>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     校级体育比赛裁判员</w:t>
            </w:r>
          </w:p>
        </w:tc>
        <w:tc>
          <w:tcPr>
            <w:tcW w:w="2870" w:type="dxa"/>
            <w:vAlign w:val="center"/>
          </w:tcPr>
          <w:p>
            <w:pPr>
              <w:pStyle w:val="9"/>
              <w:ind w:firstLine="0" w:firstLineChars="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1分/次（累计不超过5分）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338" w:type="dxa"/>
            <w:vAlign w:val="center"/>
          </w:tcPr>
          <w:p>
            <w:pPr>
              <w:tabs>
                <w:tab w:val="left" w:pos="1635"/>
              </w:tabs>
              <w:ind w:leftChars="-257" w:hanging="539" w:hangingChars="257"/>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ab/>
            </w:r>
            <w:r>
              <w:rPr>
                <w:rFonts w:hint="eastAsia" w:ascii="黑体" w:hAnsi="黑体" w:eastAsia="黑体"/>
                <w:color w:val="000000" w:themeColor="text1"/>
                <w14:textFill>
                  <w14:solidFill>
                    <w14:schemeClr w14:val="tx1"/>
                  </w14:solidFill>
                </w14:textFill>
              </w:rPr>
              <w:t>院级体育比赛裁判员</w:t>
            </w:r>
          </w:p>
        </w:tc>
        <w:tc>
          <w:tcPr>
            <w:tcW w:w="2870" w:type="dxa"/>
            <w:vAlign w:val="center"/>
          </w:tcPr>
          <w:p>
            <w:pPr>
              <w:pStyle w:val="9"/>
              <w:ind w:firstLine="0" w:firstLineChars="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0.5分</w:t>
            </w:r>
            <w:r>
              <w:rPr>
                <w:rFonts w:hint="eastAsia" w:ascii="黑体" w:hAnsi="黑体" w:eastAsia="黑体"/>
                <w:color w:val="000000" w:themeColor="text1"/>
                <w:szCs w:val="21"/>
                <w14:textFill>
                  <w14:solidFill>
                    <w14:schemeClr w14:val="tx1"/>
                  </w14:solidFill>
                </w14:textFill>
              </w:rPr>
              <w:t>/次（</w:t>
            </w:r>
            <w:r>
              <w:rPr>
                <w:rFonts w:hint="eastAsia" w:ascii="黑体" w:hAnsi="黑体" w:eastAsia="黑体"/>
                <w:color w:val="000000" w:themeColor="text1"/>
                <w14:textFill>
                  <w14:solidFill>
                    <w14:schemeClr w14:val="tx1"/>
                  </w14:solidFill>
                </w14:textFill>
              </w:rPr>
              <w:t>累计不超过3分）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8208" w:type="dxa"/>
            <w:gridSpan w:val="2"/>
            <w:vAlign w:val="center"/>
          </w:tcPr>
          <w:p>
            <w:pPr>
              <w:spacing w:line="276" w:lineRule="auto"/>
              <w:ind w:left="420" w:hanging="420" w:hangingChars="200"/>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备注：</w:t>
            </w:r>
          </w:p>
          <w:p>
            <w:pPr>
              <w:numPr>
                <w:ilvl w:val="0"/>
                <w:numId w:val="15"/>
              </w:numPr>
              <w:spacing w:line="276" w:lineRule="auto"/>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参加省市高校运动会的裁判员每次每项加</w:t>
            </w:r>
            <w:r>
              <w:rPr>
                <w:rFonts w:ascii="黑体" w:hAnsi="黑体" w:eastAsia="黑体" w:cs="宋体"/>
                <w:color w:val="000000" w:themeColor="text1"/>
                <w:kern w:val="0"/>
                <w:szCs w:val="21"/>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分。</w:t>
            </w:r>
          </w:p>
          <w:p>
            <w:pPr>
              <w:numPr>
                <w:ilvl w:val="0"/>
                <w:numId w:val="15"/>
              </w:numPr>
              <w:spacing w:line="276" w:lineRule="auto"/>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广东大学生羽毛球锦标赛（主办单位：广东省学生体育联合会）裁判，无论多少次算入校级加1分。</w:t>
            </w:r>
          </w:p>
          <w:p>
            <w:pPr>
              <w:numPr>
                <w:ilvl w:val="0"/>
                <w:numId w:val="15"/>
              </w:numPr>
              <w:spacing w:line="276" w:lineRule="auto"/>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参加次数按项目计算，不按场次计算（如铅球裁判与跳远裁判算两次，羽毛球裁判看了多场比赛也只算一次）。</w:t>
            </w:r>
          </w:p>
        </w:tc>
      </w:tr>
    </w:tbl>
    <w:p>
      <w:pPr>
        <w:pStyle w:val="7"/>
        <w:spacing w:line="240" w:lineRule="auto"/>
        <w:ind w:firstLine="0"/>
        <w:rPr>
          <w:rFonts w:hint="eastAsia" w:ascii="黑体" w:hAnsi="黑体" w:eastAsia="黑体"/>
          <w:bCs w:val="0"/>
          <w:color w:val="000000" w:themeColor="text1"/>
          <w:spacing w:val="0"/>
          <w:sz w:val="24"/>
          <w:szCs w:val="28"/>
          <w14:textFill>
            <w14:solidFill>
              <w14:schemeClr w14:val="tx1"/>
            </w14:solidFill>
          </w14:textFill>
        </w:rPr>
      </w:pPr>
    </w:p>
    <w:p>
      <w:pPr>
        <w:pStyle w:val="7"/>
        <w:spacing w:line="240" w:lineRule="auto"/>
        <w:ind w:firstLine="240" w:firstLineChars="100"/>
        <w:rPr>
          <w:rFonts w:hint="eastAsia" w:ascii="黑体" w:hAnsi="黑体" w:eastAsia="黑体"/>
          <w:bCs w:val="0"/>
          <w:color w:val="000000" w:themeColor="text1"/>
          <w:spacing w:val="0"/>
          <w:sz w:val="24"/>
          <w:szCs w:val="28"/>
          <w14:textFill>
            <w14:solidFill>
              <w14:schemeClr w14:val="tx1"/>
            </w14:solidFill>
          </w14:textFill>
        </w:rPr>
      </w:pPr>
      <w:r>
        <w:rPr>
          <w:rFonts w:hint="eastAsia" w:ascii="黑体" w:hAnsi="黑体" w:eastAsia="黑体"/>
          <w:bCs w:val="0"/>
          <w:color w:val="000000" w:themeColor="text1"/>
          <w:spacing w:val="0"/>
          <w:sz w:val="24"/>
          <w:szCs w:val="28"/>
          <w14:textFill>
            <w14:solidFill>
              <w14:schemeClr w14:val="tx1"/>
            </w14:solidFill>
          </w14:textFill>
        </w:rPr>
        <w:t>3）文艺活动</w:t>
      </w:r>
    </w:p>
    <w:tbl>
      <w:tblPr>
        <w:tblStyle w:val="4"/>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8"/>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8" w:type="dxa"/>
            <w:vAlign w:val="center"/>
          </w:tcPr>
          <w:p>
            <w:pPr>
              <w:rPr>
                <w:rFonts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 xml:space="preserve">项目                                                      </w:t>
            </w:r>
          </w:p>
        </w:tc>
        <w:tc>
          <w:tcPr>
            <w:tcW w:w="2870" w:type="dxa"/>
            <w:vAlign w:val="center"/>
          </w:tcPr>
          <w:p>
            <w:pPr>
              <w:rPr>
                <w:rFonts w:hint="eastAsia" w:ascii="黑体" w:hAnsi="黑体" w:eastAsia="黑体"/>
                <w:b/>
                <w:color w:val="000000" w:themeColor="text1"/>
                <w:sz w:val="22"/>
                <w14:textFill>
                  <w14:solidFill>
                    <w14:schemeClr w14:val="tx1"/>
                  </w14:solidFill>
                </w14:textFill>
              </w:rPr>
            </w:pPr>
            <w:r>
              <w:rPr>
                <w:rFonts w:hint="eastAsia" w:ascii="黑体" w:hAnsi="黑体" w:eastAsia="黑体"/>
                <w:b/>
                <w:color w:val="000000" w:themeColor="text1"/>
                <w:sz w:val="22"/>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338" w:type="dxa"/>
            <w:vAlign w:val="center"/>
          </w:tcPr>
          <w:p>
            <w:pPr>
              <w:autoSpaceDE w:val="0"/>
              <w:autoSpaceDN w:val="0"/>
              <w:adjustRightInd w:val="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主持、礼仪、拉拉队（国家级、省市级、校级、院级</w:t>
            </w:r>
            <w:r>
              <w:rPr>
                <w:rFonts w:ascii="黑体" w:hAnsi="黑体" w:eastAsia="黑体"/>
                <w:color w:val="000000" w:themeColor="text1"/>
                <w14:textFill>
                  <w14:solidFill>
                    <w14:schemeClr w14:val="tx1"/>
                  </w14:solidFill>
                </w14:textFill>
              </w:rPr>
              <w:t>）</w:t>
            </w:r>
          </w:p>
          <w:p>
            <w:pPr>
              <w:autoSpaceDE w:val="0"/>
              <w:autoSpaceDN w:val="0"/>
              <w:adjustRightInd w:val="0"/>
              <w:jc w:val="left"/>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（此项加分校级及校级以下的最高不得超过3分，省市级的最高不得超过5分）。</w:t>
            </w:r>
          </w:p>
        </w:tc>
        <w:tc>
          <w:tcPr>
            <w:tcW w:w="2870" w:type="dxa"/>
            <w:vAlign w:val="top"/>
          </w:tcPr>
          <w:p>
            <w:pPr>
              <w:spacing w:line="400" w:lineRule="exact"/>
              <w:jc w:val="left"/>
              <w:rPr>
                <w:rFonts w:ascii="黑体" w:hAnsi="黑体" w:eastAsia="黑体"/>
                <w:color w:val="000000" w:themeColor="text1"/>
                <w:szCs w:val="22"/>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4、2、1</w:t>
            </w:r>
            <w:r>
              <w:rPr>
                <w:rFonts w:hint="eastAsia" w:ascii="黑体" w:hAnsi="黑体" w:eastAsia="黑体"/>
                <w:color w:val="000000" w:themeColor="text1"/>
                <w:szCs w:val="22"/>
                <w14:textFill>
                  <w14:solidFill>
                    <w14:schemeClr w14:val="tx1"/>
                  </w14:solidFill>
                </w14:textFill>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338" w:type="dxa"/>
            <w:vAlign w:val="center"/>
          </w:tcPr>
          <w:p>
            <w:pPr>
              <w:autoSpaceDE w:val="0"/>
              <w:autoSpaceDN w:val="0"/>
              <w:adjustRightInd w:val="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演出人员和工作人员（校级和校级以上、院级）</w:t>
            </w:r>
          </w:p>
          <w:p>
            <w:pPr>
              <w:autoSpaceDE w:val="0"/>
              <w:autoSpaceDN w:val="0"/>
              <w:adjustRightInd w:val="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w:t>
            </w:r>
            <w:r>
              <w:rPr>
                <w:rFonts w:hint="eastAsia" w:ascii="黑体" w:hAnsi="黑体" w:eastAsia="黑体"/>
                <w:color w:val="000000" w:themeColor="text1"/>
                <w14:textFill>
                  <w14:solidFill>
                    <w14:schemeClr w14:val="tx1"/>
                  </w14:solidFill>
                </w14:textFill>
              </w:rPr>
              <w:t>此项</w:t>
            </w:r>
            <w:r>
              <w:rPr>
                <w:rFonts w:hint="eastAsia" w:ascii="黑体" w:hAnsi="黑体" w:eastAsia="黑体"/>
                <w:color w:val="000000" w:themeColor="text1"/>
                <w:szCs w:val="22"/>
                <w14:textFill>
                  <w14:solidFill>
                    <w14:schemeClr w14:val="tx1"/>
                  </w14:solidFill>
                </w14:textFill>
              </w:rPr>
              <w:t>累计加分最高不超过3分）</w:t>
            </w:r>
          </w:p>
        </w:tc>
        <w:tc>
          <w:tcPr>
            <w:tcW w:w="2870" w:type="dxa"/>
            <w:vAlign w:val="top"/>
          </w:tcPr>
          <w:p>
            <w:pPr>
              <w:spacing w:line="400" w:lineRule="exact"/>
              <w:jc w:val="left"/>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olor w:val="000000" w:themeColor="text1"/>
                <w:szCs w:val="22"/>
                <w14:textFill>
                  <w14:solidFill>
                    <w14:schemeClr w14:val="tx1"/>
                  </w14:solidFill>
                </w14:textFill>
              </w:rPr>
              <w:t>0.5、0.3分/次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338" w:type="dxa"/>
            <w:vAlign w:val="center"/>
          </w:tcPr>
          <w:p>
            <w:pPr>
              <w:autoSpaceDE w:val="0"/>
              <w:autoSpaceDN w:val="0"/>
              <w:adjustRightInd w:val="0"/>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经过选拔或不设选拔程序、无须经过选拔直接参加院级唱歌、舞蹈、戏剧、音乐、书画等有关文化艺术活动换竞赛（一、二、三等奖、参赛者）</w:t>
            </w:r>
          </w:p>
        </w:tc>
        <w:tc>
          <w:tcPr>
            <w:tcW w:w="2870" w:type="dxa"/>
            <w:vAlign w:val="top"/>
          </w:tcPr>
          <w:p>
            <w:pPr>
              <w:spacing w:line="400" w:lineRule="exact"/>
              <w:jc w:val="left"/>
              <w:rPr>
                <w:rFonts w:hint="eastAsia" w:ascii="黑体" w:hAnsi="黑体" w:eastAsia="黑体" w:cs="宋?"/>
                <w:color w:val="000000" w:themeColor="text1"/>
                <w:kern w:val="0"/>
                <w:szCs w:val="21"/>
                <w14:textFill>
                  <w14:solidFill>
                    <w14:schemeClr w14:val="tx1"/>
                  </w14:solidFill>
                </w14:textFill>
              </w:rPr>
            </w:pPr>
            <w:r>
              <w:rPr>
                <w:rFonts w:hint="eastAsia" w:ascii="黑体" w:hAnsi="黑体" w:eastAsia="黑体" w:cs="宋?"/>
                <w:color w:val="000000" w:themeColor="text1"/>
                <w:kern w:val="0"/>
                <w:szCs w:val="21"/>
                <w14:textFill>
                  <w14:solidFill>
                    <w14:schemeClr w14:val="tx1"/>
                  </w14:solidFill>
                </w14:textFill>
              </w:rPr>
              <w:t>3、2、1、0.5分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208" w:type="dxa"/>
            <w:gridSpan w:val="2"/>
            <w:vAlign w:val="center"/>
          </w:tcPr>
          <w:p>
            <w:pPr>
              <w:pStyle w:val="7"/>
              <w:spacing w:line="276" w:lineRule="auto"/>
              <w:ind w:firstLine="0"/>
              <w:rPr>
                <w:rFonts w:hint="eastAsia" w:ascii="黑体" w:hAnsi="黑体" w:eastAsia="黑体"/>
                <w:bCs w:val="0"/>
                <w:color w:val="000000" w:themeColor="text1"/>
                <w:spacing w:val="0"/>
                <w:sz w:val="21"/>
                <w:szCs w:val="21"/>
                <w14:textFill>
                  <w14:solidFill>
                    <w14:schemeClr w14:val="tx1"/>
                  </w14:solidFill>
                </w14:textFill>
              </w:rPr>
            </w:pPr>
            <w:r>
              <w:rPr>
                <w:rFonts w:hint="eastAsia" w:ascii="黑体" w:hAnsi="黑体" w:eastAsia="黑体"/>
                <w:bCs w:val="0"/>
                <w:color w:val="000000" w:themeColor="text1"/>
                <w:spacing w:val="0"/>
                <w:sz w:val="21"/>
                <w:szCs w:val="21"/>
                <w14:textFill>
                  <w14:solidFill>
                    <w14:schemeClr w14:val="tx1"/>
                  </w14:solidFill>
                </w14:textFill>
              </w:rPr>
              <w:t>备注：</w:t>
            </w:r>
          </w:p>
          <w:p>
            <w:pPr>
              <w:pStyle w:val="7"/>
              <w:numPr>
                <w:ilvl w:val="0"/>
                <w:numId w:val="16"/>
              </w:numPr>
              <w:spacing w:line="276" w:lineRule="auto"/>
              <w:rPr>
                <w:rFonts w:hint="eastAsia" w:ascii="黑体" w:hAnsi="黑体" w:eastAsia="黑体" w:cs="宋体"/>
                <w:b w:val="0"/>
                <w:bCs w:val="0"/>
                <w:color w:val="000000" w:themeColor="text1"/>
                <w:spacing w:val="0"/>
                <w:sz w:val="21"/>
                <w:szCs w:val="21"/>
                <w14:textFill>
                  <w14:solidFill>
                    <w14:schemeClr w14:val="tx1"/>
                  </w14:solidFill>
                </w14:textFill>
              </w:rPr>
            </w:pPr>
            <w:r>
              <w:rPr>
                <w:rFonts w:hint="eastAsia" w:ascii="黑体" w:hAnsi="黑体" w:eastAsia="黑体" w:cs="宋体"/>
                <w:b w:val="0"/>
                <w:bCs w:val="0"/>
                <w:color w:val="000000" w:themeColor="text1"/>
                <w:spacing w:val="0"/>
                <w:sz w:val="21"/>
                <w:szCs w:val="21"/>
                <w14:textFill>
                  <w14:solidFill>
                    <w14:schemeClr w14:val="tx1"/>
                  </w14:solidFill>
                </w14:textFill>
              </w:rPr>
              <w:t>同一节目重复参加演出只计一次参加分、重复获奖只计一次最高分，不得重复累加。</w:t>
            </w:r>
          </w:p>
          <w:p>
            <w:pPr>
              <w:pStyle w:val="7"/>
              <w:numPr>
                <w:ilvl w:val="0"/>
                <w:numId w:val="16"/>
              </w:numPr>
              <w:spacing w:line="276" w:lineRule="auto"/>
              <w:rPr>
                <w:rFonts w:hint="eastAsia" w:ascii="黑体" w:hAnsi="黑体" w:eastAsia="黑体" w:cs="宋体"/>
                <w:b w:val="0"/>
                <w:bCs w:val="0"/>
                <w:color w:val="000000" w:themeColor="text1"/>
                <w:spacing w:val="0"/>
                <w:sz w:val="21"/>
                <w:szCs w:val="21"/>
                <w14:textFill>
                  <w14:solidFill>
                    <w14:schemeClr w14:val="tx1"/>
                  </w14:solidFill>
                </w14:textFill>
              </w:rPr>
            </w:pPr>
            <w:r>
              <w:rPr>
                <w:rFonts w:hint="eastAsia" w:ascii="黑体" w:hAnsi="黑体" w:eastAsia="黑体" w:cs="宋体"/>
                <w:b w:val="0"/>
                <w:bCs w:val="0"/>
                <w:color w:val="000000" w:themeColor="text1"/>
                <w:spacing w:val="0"/>
                <w:sz w:val="21"/>
                <w:szCs w:val="21"/>
                <w14:textFill>
                  <w14:solidFill>
                    <w14:schemeClr w14:val="tx1"/>
                  </w14:solidFill>
                </w14:textFill>
              </w:rPr>
              <w:t>学生会团委成员执行其本职职务活动，不加其工作人员分；校艺术团体（</w:t>
            </w:r>
            <w:r>
              <w:rPr>
                <w:rFonts w:hint="eastAsia" w:ascii="黑体" w:hAnsi="黑体" w:eastAsia="黑体" w:cs="宋体"/>
                <w:b w:val="0"/>
                <w:bCs w:val="0"/>
                <w:color w:val="000000" w:themeColor="text1"/>
                <w:spacing w:val="0"/>
                <w:sz w:val="21"/>
                <w:szCs w:val="21"/>
                <w:lang w:eastAsia="zh-CN"/>
                <w14:textFill>
                  <w14:solidFill>
                    <w14:schemeClr w14:val="tx1"/>
                  </w14:solidFill>
                </w14:textFill>
              </w:rPr>
              <w:t>如：</w:t>
            </w:r>
            <w:r>
              <w:rPr>
                <w:rFonts w:hint="eastAsia" w:ascii="黑体" w:hAnsi="黑体" w:eastAsia="黑体" w:cs="宋体"/>
                <w:b w:val="0"/>
                <w:bCs w:val="0"/>
                <w:color w:val="000000" w:themeColor="text1"/>
                <w:spacing w:val="0"/>
                <w:sz w:val="21"/>
                <w:szCs w:val="21"/>
                <w14:textFill>
                  <w14:solidFill>
                    <w14:schemeClr w14:val="tx1"/>
                  </w14:solidFill>
                </w14:textFill>
              </w:rPr>
              <w:t>艺术团、管弦乐团、合唱团、办公室）成员担任礼仪、主持、模特表演、工作人员等属于职务范围内的，不予以加分。</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3、参加校级演出、比赛的按院级的2倍计算，市级的按院级的2.5倍计算，省级的按院级的三倍计算，国家级按照院级的4倍计算。</w:t>
            </w:r>
          </w:p>
          <w:p>
            <w:pPr>
              <w:pStyle w:val="7"/>
              <w:spacing w:line="400" w:lineRule="exact"/>
              <w:ind w:firstLine="0"/>
              <w:jc w:val="left"/>
              <w:rPr>
                <w:rFonts w:hint="eastAsia" w:ascii="黑体" w:hAnsi="黑体" w:eastAsia="黑体" w:cs="宋体"/>
                <w:b w:val="0"/>
                <w:bCs w:val="0"/>
                <w:color w:val="000000" w:themeColor="text1"/>
                <w:spacing w:val="0"/>
                <w:sz w:val="21"/>
                <w:szCs w:val="21"/>
                <w14:textFill>
                  <w14:solidFill>
                    <w14:schemeClr w14:val="tx1"/>
                  </w14:solidFill>
                </w14:textFill>
              </w:rPr>
            </w:pPr>
            <w:r>
              <w:rPr>
                <w:rFonts w:hint="eastAsia" w:ascii="黑体" w:hAnsi="黑体" w:eastAsia="黑体" w:cs="宋体"/>
                <w:b w:val="0"/>
                <w:bCs w:val="0"/>
                <w:color w:val="000000" w:themeColor="text1"/>
                <w:spacing w:val="0"/>
                <w:sz w:val="21"/>
                <w:szCs w:val="21"/>
                <w14:textFill>
                  <w14:solidFill>
                    <w14:schemeClr w14:val="tx1"/>
                  </w14:solidFill>
                </w14:textFill>
              </w:rPr>
              <w:t>4、如活动未分获奖等级，优秀优胜奖参照同级别比赛三等奖计算，最佳获奖类参照同级别比赛二等奖计算。</w:t>
            </w:r>
          </w:p>
          <w:p>
            <w:pPr>
              <w:pStyle w:val="7"/>
              <w:spacing w:line="400" w:lineRule="exact"/>
              <w:ind w:firstLine="0"/>
              <w:jc w:val="left"/>
              <w:rPr>
                <w:rFonts w:hint="eastAsia" w:ascii="黑体" w:hAnsi="黑体" w:eastAsia="黑体" w:cs="宋体"/>
                <w:b w:val="0"/>
                <w:bCs w:val="0"/>
                <w:color w:val="000000" w:themeColor="text1"/>
                <w:spacing w:val="0"/>
                <w:sz w:val="21"/>
                <w:szCs w:val="21"/>
                <w14:textFill>
                  <w14:solidFill>
                    <w14:schemeClr w14:val="tx1"/>
                  </w14:solidFill>
                </w14:textFill>
              </w:rPr>
            </w:pPr>
            <w:r>
              <w:rPr>
                <w:rFonts w:hint="eastAsia" w:ascii="黑体" w:hAnsi="黑体" w:eastAsia="黑体" w:cs="宋体"/>
                <w:b w:val="0"/>
                <w:bCs w:val="0"/>
                <w:color w:val="000000" w:themeColor="text1"/>
                <w:spacing w:val="0"/>
                <w:sz w:val="21"/>
                <w:szCs w:val="21"/>
                <w14:textFill>
                  <w14:solidFill>
                    <w14:schemeClr w14:val="tx1"/>
                  </w14:solidFill>
                </w14:textFill>
              </w:rPr>
              <w:t>5、同一比赛分为院级初赛、校级决赛的（如：秋之声），只计最高分，不重复加分。</w:t>
            </w:r>
          </w:p>
          <w:p>
            <w:pPr>
              <w:autoSpaceDE w:val="0"/>
              <w:autoSpaceDN w:val="0"/>
              <w:adjustRightInd w:val="0"/>
              <w:jc w:val="left"/>
              <w:rPr>
                <w:rFonts w:hint="eastAsia"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6、加分项目如下</w:t>
            </w:r>
          </w:p>
          <w:p>
            <w:pPr>
              <w:autoSpaceDE w:val="0"/>
              <w:autoSpaceDN w:val="0"/>
              <w:adjustRightInd w:val="0"/>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（1）表演及会议讲座</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国家级：</w:t>
            </w:r>
            <w:r>
              <w:rPr>
                <w:rFonts w:hint="eastAsia" w:ascii="黑体" w:hAnsi="黑体" w:eastAsia="黑体" w:cs="宋体"/>
                <w:color w:val="000000" w:themeColor="text1"/>
                <w:kern w:val="0"/>
                <w:szCs w:val="21"/>
                <w14:textFill>
                  <w14:solidFill>
                    <w14:schemeClr w14:val="tx1"/>
                  </w14:solidFill>
                </w14:textFill>
              </w:rPr>
              <w:t>国家大学生电影节开闭幕式、全国大学英语教学比赛决赛等；</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省级：</w:t>
            </w:r>
            <w:r>
              <w:rPr>
                <w:rFonts w:hint="eastAsia" w:ascii="黑体" w:hAnsi="黑体" w:eastAsia="黑体" w:cs="宋体"/>
                <w:color w:val="000000" w:themeColor="text1"/>
                <w:kern w:val="0"/>
                <w:szCs w:val="21"/>
                <w14:textFill>
                  <w14:solidFill>
                    <w14:schemeClr w14:val="tx1"/>
                  </w14:solidFill>
                </w14:textFill>
              </w:rPr>
              <w:t>省大学生艺术节开闭幕式、全国大学生戏剧节、全国大学英语教学比赛广东省赛区决赛、全国大学生戏剧节开闭幕式、广州国际两会志愿风采展示大赛等；</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市级：</w:t>
            </w:r>
            <w:r>
              <w:rPr>
                <w:rFonts w:hint="eastAsia" w:ascii="黑体" w:hAnsi="黑体" w:eastAsia="黑体" w:cs="宋体"/>
                <w:color w:val="000000" w:themeColor="text1"/>
                <w:kern w:val="0"/>
                <w:szCs w:val="21"/>
                <w14:textFill>
                  <w14:solidFill>
                    <w14:schemeClr w14:val="tx1"/>
                  </w14:solidFill>
                </w14:textFill>
              </w:rPr>
              <w:t>省大学生艺术节舞蹈大赛广州赛区比赛等；</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校级：</w:t>
            </w:r>
            <w:r>
              <w:rPr>
                <w:rFonts w:hint="eastAsia" w:ascii="黑体" w:hAnsi="黑体" w:eastAsia="黑体" w:cs="宋体"/>
                <w:color w:val="000000" w:themeColor="text1"/>
                <w:kern w:val="0"/>
                <w:szCs w:val="21"/>
                <w14:textFill>
                  <w14:solidFill>
                    <w14:schemeClr w14:val="tx1"/>
                  </w14:solidFill>
                </w14:textFill>
              </w:rPr>
              <w:t>管乐团周年演奏会、校运会开幕式、云山舞会周年庆、毕业生晚会、迎新生晚会、校新年晚会、党庆晚会、三下乡总结晚会、广外缤纷文化节开闭幕式、校学生会总结大会、校先进表彰大会、团代会等；</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院级：</w:t>
            </w:r>
            <w:r>
              <w:rPr>
                <w:rFonts w:hint="eastAsia" w:ascii="黑体" w:hAnsi="黑体" w:eastAsia="黑体" w:cs="宋体"/>
                <w:color w:val="000000" w:themeColor="text1"/>
                <w:kern w:val="0"/>
                <w:szCs w:val="21"/>
                <w14:textFill>
                  <w14:solidFill>
                    <w14:schemeClr w14:val="tx1"/>
                  </w14:solidFill>
                </w14:textFill>
              </w:rPr>
              <w:t>毕业生晚会、院新年晚会等。</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（2）文艺比赛：</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省级：</w:t>
            </w:r>
            <w:r>
              <w:rPr>
                <w:rFonts w:hint="eastAsia" w:ascii="黑体" w:hAnsi="黑体" w:eastAsia="黑体" w:cs="宋体"/>
                <w:color w:val="000000" w:themeColor="text1"/>
                <w:kern w:val="0"/>
                <w:szCs w:val="21"/>
                <w14:textFill>
                  <w14:solidFill>
                    <w14:schemeClr w14:val="tx1"/>
                  </w14:solidFill>
                </w14:textFill>
              </w:rPr>
              <w:t>省舞蹈大赛、广东省“百歌颂中华”歌手大赛、广州国际两会志愿风采展示大赛、省大学生艺术节舞蹈大赛决赛等；</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校级：</w:t>
            </w:r>
            <w:r>
              <w:rPr>
                <w:rFonts w:hint="eastAsia" w:ascii="黑体" w:hAnsi="黑体" w:eastAsia="黑体" w:cs="宋体"/>
                <w:color w:val="000000" w:themeColor="text1"/>
                <w:kern w:val="0"/>
                <w:szCs w:val="21"/>
                <w14:textFill>
                  <w14:solidFill>
                    <w14:schemeClr w14:val="tx1"/>
                  </w14:solidFill>
                </w14:textFill>
              </w:rPr>
              <w:t>校DJ大赛、戏剧大赛、广外秋之声大赛决赛、广外舞蹈大赛、校模特摄影大赛、校舞台剧大赛、校司仪大赛等；</w:t>
            </w:r>
          </w:p>
          <w:p>
            <w:pPr>
              <w:spacing w:line="400" w:lineRule="exact"/>
              <w:jc w:val="left"/>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院级：</w:t>
            </w:r>
            <w:r>
              <w:rPr>
                <w:rFonts w:hint="eastAsia" w:ascii="黑体" w:hAnsi="黑体" w:eastAsia="黑体" w:cs="宋体"/>
                <w:color w:val="000000" w:themeColor="text1"/>
                <w:kern w:val="0"/>
                <w:szCs w:val="21"/>
                <w14:textFill>
                  <w14:solidFill>
                    <w14:schemeClr w14:val="tx1"/>
                  </w14:solidFill>
                </w14:textFill>
              </w:rPr>
              <w:t>院秋之声大赛初赛、院红色经典朗诵比赛（优胜奖、最佳组织奖只加参与分）。</w:t>
            </w:r>
          </w:p>
        </w:tc>
      </w:tr>
    </w:tbl>
    <w:p>
      <w:pPr>
        <w:snapToGrid w:val="0"/>
        <w:spacing w:line="540" w:lineRule="exact"/>
        <w:jc w:val="left"/>
        <w:rPr>
          <w:rFonts w:ascii="仿宋_GB2312" w:hAnsi="宋体" w:eastAsia="仿宋_GB2312"/>
          <w:color w:val="000000"/>
          <w:kern w:val="0"/>
          <w:sz w:val="28"/>
          <w:szCs w:val="28"/>
        </w:rPr>
      </w:pPr>
    </w:p>
    <w:p>
      <w:pPr>
        <w:widowControl/>
        <w:jc w:val="lef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鼎CS中黑">
    <w:altName w:val="黑体"/>
    <w:panose1 w:val="00000000000000000000"/>
    <w:charset w:val="86"/>
    <w:family w:val="modern"/>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7A"/>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Songti SC">
    <w:altName w:val="宋体"/>
    <w:panose1 w:val="00000000000000000000"/>
    <w:charset w:val="88"/>
    <w:family w:val="auto"/>
    <w:pitch w:val="default"/>
    <w:sig w:usb0="00000000" w:usb1="00000000" w:usb2="00000010" w:usb3="00000000" w:csb0="001400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Arial"/>
    <w:panose1 w:val="020B0604020202020204"/>
    <w:charset w:val="88"/>
    <w:family w:val="auto"/>
    <w:pitch w:val="default"/>
    <w:sig w:usb0="00000000" w:usb1="00000000" w:usb2="0000003F" w:usb3="00000000" w:csb0="603F01FF" w:csb1="FFFF0000"/>
  </w:font>
  <w:font w:name="田氏颜体大字库">
    <w:altName w:val="宋体"/>
    <w:panose1 w:val="020B0503020204020204"/>
    <w:charset w:val="86"/>
    <w:family w:val="auto"/>
    <w:pitch w:val="default"/>
    <w:sig w:usb0="00000000" w:usb1="00000000" w:usb2="00000016" w:usb3="00000000" w:csb0="E016019F" w:csb1="9FD70000"/>
  </w:font>
  <w:font w:name="田氏颜体大字库">
    <w:altName w:val="宋体"/>
    <w:panose1 w:val="020B0503020204020204"/>
    <w:charset w:val="88"/>
    <w:family w:val="auto"/>
    <w:pitch w:val="default"/>
    <w:sig w:usb0="00000000" w:usb1="00000000" w:usb2="00000016" w:usb3="00000000" w:csb0="E016019F" w:csb1="9FD70000"/>
  </w:font>
  <w:font w:name="方正小标宋简体">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Adobe Myungjo Std M">
    <w:altName w:val="MS PMincho"/>
    <w:panose1 w:val="02020600000000000000"/>
    <w:charset w:val="80"/>
    <w:family w:val="auto"/>
    <w:pitch w:val="default"/>
    <w:sig w:usb0="00000000" w:usb1="00000000" w:usb2="00000010" w:usb3="00000000" w:csb0="402A0005" w:csb1="00000000"/>
  </w:font>
  <w:font w:name="MS PMincho">
    <w:panose1 w:val="020206000402050803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375" w:hanging="360"/>
      </w:pPr>
      <w:rPr>
        <w:rFonts w:hint="default"/>
        <w:color w:val="auto"/>
      </w:rPr>
    </w:lvl>
    <w:lvl w:ilvl="1" w:tentative="0">
      <w:start w:val="1"/>
      <w:numFmt w:val="lowerLetter"/>
      <w:lvlText w:val="%2)"/>
      <w:lvlJc w:val="left"/>
      <w:pPr>
        <w:ind w:left="855" w:hanging="420"/>
      </w:pPr>
    </w:lvl>
    <w:lvl w:ilvl="2" w:tentative="0">
      <w:start w:val="1"/>
      <w:numFmt w:val="lowerRoman"/>
      <w:lvlText w:val="%3."/>
      <w:lvlJc w:val="right"/>
      <w:pPr>
        <w:ind w:left="1275" w:hanging="420"/>
      </w:pPr>
    </w:lvl>
    <w:lvl w:ilvl="3" w:tentative="0">
      <w:start w:val="1"/>
      <w:numFmt w:val="decimal"/>
      <w:lvlText w:val="%4."/>
      <w:lvlJc w:val="left"/>
      <w:pPr>
        <w:ind w:left="1695" w:hanging="420"/>
      </w:pPr>
    </w:lvl>
    <w:lvl w:ilvl="4" w:tentative="0">
      <w:start w:val="1"/>
      <w:numFmt w:val="lowerLetter"/>
      <w:lvlText w:val="%5)"/>
      <w:lvlJc w:val="left"/>
      <w:pPr>
        <w:ind w:left="2115" w:hanging="420"/>
      </w:pPr>
    </w:lvl>
    <w:lvl w:ilvl="5" w:tentative="0">
      <w:start w:val="1"/>
      <w:numFmt w:val="lowerRoman"/>
      <w:lvlText w:val="%6."/>
      <w:lvlJc w:val="right"/>
      <w:pPr>
        <w:ind w:left="2535" w:hanging="420"/>
      </w:pPr>
    </w:lvl>
    <w:lvl w:ilvl="6" w:tentative="0">
      <w:start w:val="1"/>
      <w:numFmt w:val="decimal"/>
      <w:lvlText w:val="%7."/>
      <w:lvlJc w:val="left"/>
      <w:pPr>
        <w:ind w:left="2955" w:hanging="420"/>
      </w:pPr>
    </w:lvl>
    <w:lvl w:ilvl="7" w:tentative="0">
      <w:start w:val="1"/>
      <w:numFmt w:val="lowerLetter"/>
      <w:lvlText w:val="%8)"/>
      <w:lvlJc w:val="left"/>
      <w:pPr>
        <w:ind w:left="3375" w:hanging="420"/>
      </w:pPr>
    </w:lvl>
    <w:lvl w:ilvl="8" w:tentative="0">
      <w:start w:val="1"/>
      <w:numFmt w:val="lowerRoman"/>
      <w:lvlText w:val="%9."/>
      <w:lvlJc w:val="right"/>
      <w:pPr>
        <w:ind w:left="3795" w:hanging="420"/>
      </w:pPr>
    </w:lvl>
  </w:abstractNum>
  <w:abstractNum w:abstractNumId="2">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2"/>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B"/>
    <w:multiLevelType w:val="multilevel"/>
    <w:tmpl w:val="000000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C"/>
    <w:multiLevelType w:val="multilevel"/>
    <w:tmpl w:val="0000000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D"/>
    <w:multiLevelType w:val="multilevel"/>
    <w:tmpl w:val="000000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1"/>
    <w:multiLevelType w:val="multilevel"/>
    <w:tmpl w:val="00000011"/>
    <w:lvl w:ilvl="0" w:tentative="0">
      <w:start w:val="1"/>
      <w:numFmt w:val="chineseCountingThousand"/>
      <w:lvlText w:val="(%1)"/>
      <w:lvlJc w:val="left"/>
      <w:pPr>
        <w:ind w:left="561" w:hanging="420"/>
      </w:p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13">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5F8C0C"/>
    <w:multiLevelType w:val="singleLevel"/>
    <w:tmpl w:val="575F8C0C"/>
    <w:lvl w:ilvl="0" w:tentative="0">
      <w:start w:val="3"/>
      <w:numFmt w:val="chineseCounting"/>
      <w:suff w:val="space"/>
      <w:lvlText w:val="第%1章"/>
      <w:lvlJc w:val="left"/>
    </w:lvl>
  </w:abstractNum>
  <w:abstractNum w:abstractNumId="15">
    <w:nsid w:val="575F9D20"/>
    <w:multiLevelType w:val="singleLevel"/>
    <w:tmpl w:val="575F9D20"/>
    <w:lvl w:ilvl="0" w:tentative="0">
      <w:start w:val="1"/>
      <w:numFmt w:val="chineseCounting"/>
      <w:suff w:val="nothing"/>
      <w:lvlText w:val="（%1）"/>
      <w:lvlJc w:val="left"/>
    </w:lvl>
  </w:abstractNum>
  <w:num w:numId="1">
    <w:abstractNumId w:val="0"/>
  </w:num>
  <w:num w:numId="2">
    <w:abstractNumId w:val="14"/>
  </w:num>
  <w:num w:numId="3">
    <w:abstractNumId w:val="15"/>
  </w:num>
  <w:num w:numId="4">
    <w:abstractNumId w:val="2"/>
  </w:num>
  <w:num w:numId="5">
    <w:abstractNumId w:val="12"/>
  </w:num>
  <w:num w:numId="6">
    <w:abstractNumId w:val="13"/>
  </w:num>
  <w:num w:numId="7">
    <w:abstractNumId w:val="9"/>
  </w:num>
  <w:num w:numId="8">
    <w:abstractNumId w:val="8"/>
  </w:num>
  <w:num w:numId="9">
    <w:abstractNumId w:val="5"/>
  </w:num>
  <w:num w:numId="10">
    <w:abstractNumId w:val="10"/>
  </w:num>
  <w:num w:numId="11">
    <w:abstractNumId w:val="1"/>
  </w:num>
  <w:num w:numId="12">
    <w:abstractNumId w:val="6"/>
  </w:num>
  <w:num w:numId="13">
    <w:abstractNumId w:val="3"/>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F5208"/>
    <w:rsid w:val="04F55FD2"/>
    <w:rsid w:val="09B728D9"/>
    <w:rsid w:val="09FD4827"/>
    <w:rsid w:val="0B7F74EA"/>
    <w:rsid w:val="0BC32F78"/>
    <w:rsid w:val="0C38658A"/>
    <w:rsid w:val="0D0F554D"/>
    <w:rsid w:val="0D6C35C8"/>
    <w:rsid w:val="0E6F22C0"/>
    <w:rsid w:val="0EC315E4"/>
    <w:rsid w:val="101F22CB"/>
    <w:rsid w:val="109458DD"/>
    <w:rsid w:val="178F1D16"/>
    <w:rsid w:val="18651909"/>
    <w:rsid w:val="1DBF5208"/>
    <w:rsid w:val="1EDC1A78"/>
    <w:rsid w:val="208B7CE4"/>
    <w:rsid w:val="210B04F4"/>
    <w:rsid w:val="228F5D0C"/>
    <w:rsid w:val="245259D5"/>
    <w:rsid w:val="26DF0DC4"/>
    <w:rsid w:val="27832072"/>
    <w:rsid w:val="290F51F4"/>
    <w:rsid w:val="32B23401"/>
    <w:rsid w:val="33CE1476"/>
    <w:rsid w:val="35097765"/>
    <w:rsid w:val="38881613"/>
    <w:rsid w:val="39304BD9"/>
    <w:rsid w:val="39A74CA3"/>
    <w:rsid w:val="3B1320F5"/>
    <w:rsid w:val="3E4F6B27"/>
    <w:rsid w:val="41D52C84"/>
    <w:rsid w:val="468E079F"/>
    <w:rsid w:val="46CC092B"/>
    <w:rsid w:val="47121D82"/>
    <w:rsid w:val="48FA6AEC"/>
    <w:rsid w:val="4B8172BF"/>
    <w:rsid w:val="4CEB4D10"/>
    <w:rsid w:val="536B4AA9"/>
    <w:rsid w:val="571A5D82"/>
    <w:rsid w:val="57535D1A"/>
    <w:rsid w:val="5C744061"/>
    <w:rsid w:val="5D486522"/>
    <w:rsid w:val="5E9648B8"/>
    <w:rsid w:val="5FF8498F"/>
    <w:rsid w:val="60F76DEA"/>
    <w:rsid w:val="66414D25"/>
    <w:rsid w:val="666673A4"/>
    <w:rsid w:val="6CE77A80"/>
    <w:rsid w:val="6EC151A6"/>
    <w:rsid w:val="71147EEC"/>
    <w:rsid w:val="71CC4E09"/>
    <w:rsid w:val="72CE75C9"/>
    <w:rsid w:val="798402B9"/>
    <w:rsid w:val="7FCE1F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asciiTheme="minorHAnsi" w:hAnsiTheme="minorHAnsi" w:eastAsiaTheme="minorEastAsia"/>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
    <w:name w:val="大标标题"/>
    <w:qFormat/>
    <w:uiPriority w:val="0"/>
    <w:pPr>
      <w:widowControl w:val="0"/>
      <w:autoSpaceDE w:val="0"/>
      <w:autoSpaceDN w:val="0"/>
      <w:adjustRightInd w:val="0"/>
      <w:spacing w:line="440" w:lineRule="exact"/>
      <w:jc w:val="center"/>
    </w:pPr>
    <w:rPr>
      <w:rFonts w:ascii="方正小标宋简体" w:hAnsi="Calibri" w:eastAsia="方正小标宋简体" w:cstheme="minorBidi"/>
      <w:sz w:val="30"/>
      <w:szCs w:val="22"/>
      <w:lang w:val="en-US" w:eastAsia="zh-CN" w:bidi="ar-SA"/>
    </w:rPr>
  </w:style>
  <w:style w:type="paragraph" w:customStyle="1" w:styleId="6">
    <w:name w:val="大黑标题"/>
    <w:qFormat/>
    <w:uiPriority w:val="0"/>
    <w:pPr>
      <w:widowControl w:val="0"/>
      <w:autoSpaceDE w:val="0"/>
      <w:autoSpaceDN w:val="0"/>
      <w:adjustRightInd w:val="0"/>
      <w:spacing w:beforeLines="100" w:afterLines="50" w:line="300" w:lineRule="exact"/>
      <w:jc w:val="center"/>
    </w:pPr>
    <w:rPr>
      <w:rFonts w:ascii="Calibri" w:hAnsi="Calibri" w:eastAsia="文鼎CS中黑" w:cstheme="minorBidi"/>
      <w:sz w:val="22"/>
      <w:szCs w:val="22"/>
      <w:lang w:val="en-US" w:eastAsia="zh-CN" w:bidi="ar-SA"/>
    </w:rPr>
  </w:style>
  <w:style w:type="paragraph" w:customStyle="1" w:styleId="7">
    <w:name w:val="内文"/>
    <w:qFormat/>
    <w:uiPriority w:val="0"/>
    <w:pPr>
      <w:widowControl w:val="0"/>
      <w:spacing w:line="300" w:lineRule="exact"/>
      <w:ind w:firstLine="397"/>
      <w:jc w:val="both"/>
    </w:pPr>
    <w:rPr>
      <w:rFonts w:eastAsia="方正书宋简体" w:asciiTheme="minorHAnsi" w:hAnsiTheme="minorHAnsi" w:cstheme="minorBidi"/>
      <w:sz w:val="19"/>
      <w:szCs w:val="19"/>
      <w:lang w:val="en-US" w:eastAsia="zh-CN" w:bidi="ar-SA"/>
    </w:rPr>
  </w:style>
  <w:style w:type="paragraph" w:customStyle="1" w:styleId="8">
    <w:name w:val="_Style 1"/>
    <w:basedOn w:val="1"/>
    <w:qFormat/>
    <w:uiPriority w:val="0"/>
    <w:pPr>
      <w:ind w:firstLine="420" w:firstLineChars="200"/>
    </w:pPr>
    <w:rPr>
      <w:rFonts w:ascii="Calibri" w:hAnsi="Calibri" w:eastAsia="宋体" w:cs="Times New Roman"/>
      <w:szCs w:val="22"/>
    </w:rPr>
  </w:style>
  <w:style w:type="paragraph" w:customStyle="1" w:styleId="9">
    <w:name w:val="_Style 2"/>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2016-10-25T15:53:00Z</dcterms:created>
  <dc:creator>Administrator</dc:creator>
  <cp:lastModifiedBy>PC</cp:lastModifiedBy>
  <cp:lastPrinted>2016-10-26T02:24:00Z</cp:lastPrinted>
  <dcterms:modified xsi:type="dcterms:W3CDTF">2016-11-15T03:32:47Z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